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52" w:rsidRDefault="00BA5BAD" w:rsidP="00F8448D">
      <w:pPr>
        <w:pStyle w:val="Title"/>
        <w:tabs>
          <w:tab w:val="left" w:pos="3240"/>
        </w:tabs>
        <w:spacing w:before="0"/>
      </w:pPr>
      <w:r w:rsidRPr="00EB7411">
        <w:rPr>
          <w:b w:val="0"/>
          <w:noProof/>
          <w:sz w:val="36"/>
          <w:szCs w:val="36"/>
        </w:rPr>
        <w:drawing>
          <wp:anchor distT="0" distB="0" distL="114300" distR="114300" simplePos="0" relativeHeight="251659264" behindDoc="1" locked="0" layoutInCell="1" allowOverlap="1" wp14:anchorId="10E77AA1" wp14:editId="1B583D32">
            <wp:simplePos x="0" y="0"/>
            <wp:positionH relativeFrom="column">
              <wp:posOffset>5449570</wp:posOffset>
            </wp:positionH>
            <wp:positionV relativeFrom="page">
              <wp:posOffset>273050</wp:posOffset>
            </wp:positionV>
            <wp:extent cx="1113888" cy="412750"/>
            <wp:effectExtent l="0" t="0" r="0" b="6350"/>
            <wp:wrapNone/>
            <wp:docPr id="1" name="Picture 1" descr="Z:\Medication Assisted Treatment\Medication Assisted Treatment AHRQ\Logos\Photos &amp; Logos\Updated Logos Oct 2018\IT MATTTRs logo BLACK_upgraded Oc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edication Assisted Treatment\Medication Assisted Treatment AHRQ\Logos\Photos &amp; Logos\Updated Logos Oct 2018\IT MATTTRs logo BLACK_upgraded Oct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888" cy="41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387" w:rsidRPr="00F90913" w:rsidRDefault="007B41E2" w:rsidP="007B41E2">
      <w:pPr>
        <w:pStyle w:val="Heading1"/>
        <w:shd w:val="clear" w:color="auto" w:fill="365F91" w:themeFill="accent1" w:themeFillShade="BF"/>
        <w:spacing w:line="276" w:lineRule="auto"/>
        <w:rPr>
          <w:rFonts w:asciiTheme="minorHAnsi" w:hAnsiTheme="minorHAnsi" w:cstheme="minorHAnsi"/>
          <w:sz w:val="26"/>
          <w:szCs w:val="26"/>
        </w:rPr>
      </w:pPr>
      <w:r w:rsidRPr="00F90913">
        <w:rPr>
          <w:rFonts w:asciiTheme="minorHAnsi" w:hAnsiTheme="minorHAnsi" w:cstheme="minorHAnsi"/>
          <w:sz w:val="26"/>
          <w:szCs w:val="26"/>
        </w:rPr>
        <w:t xml:space="preserve">Buprenorphine Initiation </w:t>
      </w:r>
      <w:r w:rsidR="00EC217F" w:rsidRPr="00F90913">
        <w:rPr>
          <w:rFonts w:asciiTheme="minorHAnsi" w:hAnsiTheme="minorHAnsi" w:cstheme="minorHAnsi"/>
          <w:sz w:val="26"/>
          <w:szCs w:val="26"/>
        </w:rPr>
        <w:t>Checklist</w:t>
      </w:r>
      <w:r w:rsidR="008600F0" w:rsidRPr="00F90913">
        <w:rPr>
          <w:rFonts w:asciiTheme="minorHAnsi" w:hAnsiTheme="minorHAnsi" w:cstheme="minorHAnsi"/>
          <w:sz w:val="26"/>
          <w:szCs w:val="26"/>
        </w:rPr>
        <w:t xml:space="preserve"> for </w:t>
      </w:r>
      <w:r w:rsidRPr="00F90913">
        <w:rPr>
          <w:rFonts w:asciiTheme="minorHAnsi" w:hAnsiTheme="minorHAnsi" w:cstheme="minorHAnsi"/>
          <w:sz w:val="26"/>
          <w:szCs w:val="26"/>
        </w:rPr>
        <w:t>Clinics</w:t>
      </w:r>
    </w:p>
    <w:p w:rsidR="00266C60" w:rsidRDefault="00266C60" w:rsidP="00266C60">
      <w:pPr>
        <w:pStyle w:val="Title"/>
        <w:tabs>
          <w:tab w:val="left" w:pos="3240"/>
        </w:tabs>
        <w:rPr>
          <w:b w:val="0"/>
          <w:sz w:val="26"/>
          <w:szCs w:val="26"/>
        </w:rPr>
      </w:pPr>
    </w:p>
    <w:p w:rsidR="00266C60" w:rsidRDefault="00266C60" w:rsidP="00266C60">
      <w:pPr>
        <w:pStyle w:val="Title"/>
        <w:tabs>
          <w:tab w:val="left" w:pos="3240"/>
        </w:tabs>
        <w:rPr>
          <w:b w:val="0"/>
          <w:sz w:val="26"/>
          <w:szCs w:val="26"/>
        </w:rPr>
      </w:pPr>
    </w:p>
    <w:p w:rsidR="00266C60" w:rsidRPr="00C0405D" w:rsidRDefault="00266C60" w:rsidP="00266C60">
      <w:pPr>
        <w:pStyle w:val="Title"/>
        <w:tabs>
          <w:tab w:val="left" w:pos="3240"/>
        </w:tabs>
        <w:rPr>
          <w:b w:val="0"/>
          <w:sz w:val="26"/>
          <w:szCs w:val="26"/>
        </w:rPr>
      </w:pPr>
      <w:r>
        <w:rPr>
          <w:b w:val="0"/>
          <w:sz w:val="26"/>
          <w:szCs w:val="26"/>
        </w:rPr>
        <w:t>Deciding if MAT with Buprenorphine is the right choice</w:t>
      </w:r>
    </w:p>
    <w:p w:rsidR="00266C60" w:rsidRDefault="00266C60" w:rsidP="00266C60">
      <w:pPr>
        <w:pStyle w:val="NormalWeb"/>
        <w:spacing w:line="276" w:lineRule="auto"/>
        <w:rPr>
          <w:rFonts w:asciiTheme="minorHAnsi" w:eastAsiaTheme="minorEastAsia" w:hAnsiTheme="minorHAnsi" w:cstheme="minorBidi"/>
          <w:sz w:val="22"/>
          <w:szCs w:val="22"/>
          <w:lang w:eastAsia="ja-JP"/>
        </w:rPr>
      </w:pPr>
      <w:r w:rsidRPr="006E579A">
        <w:rPr>
          <w:rFonts w:ascii="Meiryo UI" w:eastAsia="Meiryo UI" w:hAnsi="Meiryo UI" w:cs="Meiryo UI"/>
          <w:noProof/>
          <w:sz w:val="48"/>
          <w:szCs w:val="48"/>
        </w:rPr>
        <mc:AlternateContent>
          <mc:Choice Requires="wps">
            <w:drawing>
              <wp:anchor distT="0" distB="0" distL="114300" distR="114300" simplePos="0" relativeHeight="251661312" behindDoc="0" locked="0" layoutInCell="1" allowOverlap="1" wp14:anchorId="6EC05681" wp14:editId="63C39084">
                <wp:simplePos x="0" y="0"/>
                <wp:positionH relativeFrom="column">
                  <wp:posOffset>0</wp:posOffset>
                </wp:positionH>
                <wp:positionV relativeFrom="paragraph">
                  <wp:posOffset>0</wp:posOffset>
                </wp:positionV>
                <wp:extent cx="2032000" cy="71562"/>
                <wp:effectExtent l="0" t="0" r="6350" b="5080"/>
                <wp:wrapNone/>
                <wp:docPr id="19" name="Shape 19"/>
                <wp:cNvGraphicFramePr/>
                <a:graphic xmlns:a="http://schemas.openxmlformats.org/drawingml/2006/main">
                  <a:graphicData uri="http://schemas.microsoft.com/office/word/2010/wordprocessingShape">
                    <wps:wsp>
                      <wps:cNvSpPr/>
                      <wps:spPr>
                        <a:xfrm>
                          <a:off x="0" y="0"/>
                          <a:ext cx="2032000" cy="71562"/>
                        </a:xfrm>
                        <a:prstGeom prst="rect">
                          <a:avLst/>
                        </a:prstGeom>
                        <a:solidFill>
                          <a:srgbClr val="175996"/>
                        </a:solidFill>
                        <a:ln w="3175">
                          <a:miter lim="400000"/>
                        </a:ln>
                      </wps:spPr>
                      <wps:bodyPr lIns="69979" tIns="69979" rIns="69979" bIns="69979" anchor="ctr"/>
                    </wps:wsp>
                  </a:graphicData>
                </a:graphic>
                <wp14:sizeRelV relativeFrom="margin">
                  <wp14:pctHeight>0</wp14:pctHeight>
                </wp14:sizeRelV>
              </wp:anchor>
            </w:drawing>
          </mc:Choice>
          <mc:Fallback>
            <w:pict>
              <v:rect w14:anchorId="52CCC59D" id="Shape 19" o:spid="_x0000_s1026" style="position:absolute;margin-left:0;margin-top:0;width:160pt;height: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" fillcolor="#175996" stroked="f" strokeweight=".25pt">
                <v:stroke miterlimit="4"/>
                <v:textbox inset="1.94386mm,1.94386mm,1.94386mm,1.94386mm"/>
              </v:rect>
            </w:pict>
          </mc:Fallback>
        </mc:AlternateContent>
      </w:r>
    </w:p>
    <w:p w:rsidR="007B41E2" w:rsidRPr="00F90913" w:rsidRDefault="007B41E2" w:rsidP="00540387">
      <w:pPr>
        <w:rPr>
          <w:rFonts w:ascii="Arial" w:hAnsi="Arial" w:cs="Arial"/>
          <w:sz w:val="22"/>
          <w:szCs w:val="22"/>
        </w:rPr>
      </w:pPr>
    </w:p>
    <w:p w:rsidR="00540387" w:rsidRPr="00F90913" w:rsidRDefault="00540387" w:rsidP="00540387">
      <w:pPr>
        <w:numPr>
          <w:ilvl w:val="0"/>
          <w:numId w:val="20"/>
        </w:numPr>
        <w:rPr>
          <w:rFonts w:ascii="Arial" w:hAnsi="Arial" w:cs="Arial"/>
          <w:sz w:val="22"/>
          <w:szCs w:val="22"/>
        </w:rPr>
      </w:pPr>
      <w:r w:rsidRPr="00F90913">
        <w:rPr>
          <w:rFonts w:ascii="Arial" w:hAnsi="Arial" w:cs="Arial"/>
          <w:sz w:val="22"/>
          <w:szCs w:val="22"/>
        </w:rPr>
        <w:t>Give patients a copy of your clinic’s documents for their review.</w:t>
      </w:r>
    </w:p>
    <w:p w:rsidR="00540387" w:rsidRPr="00F90913" w:rsidRDefault="00540387" w:rsidP="00540387">
      <w:pPr>
        <w:numPr>
          <w:ilvl w:val="1"/>
          <w:numId w:val="20"/>
        </w:numPr>
        <w:rPr>
          <w:rFonts w:ascii="Arial" w:hAnsi="Arial" w:cs="Arial"/>
          <w:sz w:val="22"/>
          <w:szCs w:val="22"/>
        </w:rPr>
      </w:pPr>
      <w:r w:rsidRPr="00F90913">
        <w:rPr>
          <w:rFonts w:ascii="Arial" w:hAnsi="Arial" w:cs="Arial"/>
          <w:sz w:val="22"/>
          <w:szCs w:val="22"/>
        </w:rPr>
        <w:t>MAT with Buprenorphine Program Overview document</w:t>
      </w:r>
    </w:p>
    <w:p w:rsidR="00540387" w:rsidRPr="00F90913" w:rsidRDefault="00540387" w:rsidP="00540387">
      <w:pPr>
        <w:numPr>
          <w:ilvl w:val="1"/>
          <w:numId w:val="20"/>
        </w:numPr>
        <w:rPr>
          <w:rFonts w:ascii="Arial" w:hAnsi="Arial" w:cs="Arial"/>
          <w:sz w:val="22"/>
          <w:szCs w:val="22"/>
        </w:rPr>
      </w:pPr>
      <w:r w:rsidRPr="00F90913">
        <w:rPr>
          <w:rFonts w:ascii="Arial" w:hAnsi="Arial" w:cs="Arial"/>
          <w:sz w:val="22"/>
          <w:szCs w:val="22"/>
        </w:rPr>
        <w:t>Buprenorphine Information Sheet</w:t>
      </w:r>
    </w:p>
    <w:p w:rsidR="00540387" w:rsidRPr="00F90913" w:rsidRDefault="00540387" w:rsidP="00540387">
      <w:pPr>
        <w:numPr>
          <w:ilvl w:val="1"/>
          <w:numId w:val="20"/>
        </w:numPr>
        <w:rPr>
          <w:rFonts w:ascii="Arial" w:hAnsi="Arial" w:cs="Arial"/>
          <w:sz w:val="22"/>
          <w:szCs w:val="22"/>
        </w:rPr>
      </w:pPr>
      <w:r w:rsidRPr="00F90913">
        <w:rPr>
          <w:rFonts w:ascii="Arial" w:hAnsi="Arial" w:cs="Arial"/>
          <w:sz w:val="22"/>
          <w:szCs w:val="22"/>
        </w:rPr>
        <w:t>Treatment Agreement</w:t>
      </w:r>
      <w:r w:rsidRPr="00F90913">
        <w:rPr>
          <w:rFonts w:ascii="Arial" w:hAnsi="Arial" w:cs="Arial"/>
          <w:sz w:val="22"/>
          <w:szCs w:val="22"/>
        </w:rPr>
        <w:br/>
      </w:r>
    </w:p>
    <w:p w:rsidR="007B41E2" w:rsidRPr="00F90913" w:rsidRDefault="00EC217F" w:rsidP="00540387">
      <w:pPr>
        <w:numPr>
          <w:ilvl w:val="0"/>
          <w:numId w:val="20"/>
        </w:numPr>
        <w:rPr>
          <w:rFonts w:ascii="Arial" w:hAnsi="Arial" w:cs="Arial"/>
          <w:sz w:val="22"/>
          <w:szCs w:val="22"/>
        </w:rPr>
      </w:pPr>
      <w:r w:rsidRPr="00F90913">
        <w:rPr>
          <w:rFonts w:ascii="Arial" w:hAnsi="Arial" w:cs="Arial"/>
          <w:sz w:val="22"/>
          <w:szCs w:val="22"/>
        </w:rPr>
        <w:t xml:space="preserve">Have </w:t>
      </w:r>
      <w:r w:rsidR="00540387" w:rsidRPr="00F90913">
        <w:rPr>
          <w:rFonts w:ascii="Arial" w:hAnsi="Arial" w:cs="Arial"/>
          <w:sz w:val="22"/>
          <w:szCs w:val="22"/>
        </w:rPr>
        <w:t xml:space="preserve">a copy of the Consent Form ready, in case the patient wants to review that. </w:t>
      </w:r>
    </w:p>
    <w:p w:rsidR="007B41E2" w:rsidRPr="00F90913" w:rsidRDefault="007B41E2" w:rsidP="007B41E2">
      <w:pPr>
        <w:rPr>
          <w:rFonts w:ascii="Arial" w:hAnsi="Arial" w:cs="Arial"/>
          <w:sz w:val="22"/>
          <w:szCs w:val="22"/>
        </w:rPr>
      </w:pPr>
    </w:p>
    <w:p w:rsidR="00540387" w:rsidRPr="00F90913" w:rsidRDefault="00EC217F" w:rsidP="007B41E2">
      <w:pPr>
        <w:numPr>
          <w:ilvl w:val="0"/>
          <w:numId w:val="20"/>
        </w:numPr>
        <w:rPr>
          <w:rFonts w:ascii="Arial" w:hAnsi="Arial" w:cs="Arial"/>
          <w:sz w:val="22"/>
          <w:szCs w:val="22"/>
        </w:rPr>
      </w:pPr>
      <w:r w:rsidRPr="00F90913">
        <w:rPr>
          <w:rFonts w:ascii="Arial" w:hAnsi="Arial" w:cs="Arial"/>
          <w:sz w:val="22"/>
          <w:szCs w:val="22"/>
        </w:rPr>
        <w:t xml:space="preserve">Before patients start treatment for opioid use disorder, be sure to discuss their decision to receive MAT with buprenorphine.  </w:t>
      </w:r>
    </w:p>
    <w:p w:rsidR="00540387" w:rsidRDefault="00540387" w:rsidP="00540387">
      <w:pPr>
        <w:rPr>
          <w:rFonts w:ascii="Arial" w:hAnsi="Arial" w:cs="Arial"/>
          <w:sz w:val="22"/>
          <w:szCs w:val="22"/>
        </w:rPr>
      </w:pPr>
    </w:p>
    <w:p w:rsidR="00266C60" w:rsidRDefault="00266C60" w:rsidP="00540387">
      <w:pPr>
        <w:rPr>
          <w:rFonts w:ascii="Arial" w:hAnsi="Arial" w:cs="Arial"/>
          <w:sz w:val="22"/>
          <w:szCs w:val="22"/>
        </w:rPr>
      </w:pPr>
    </w:p>
    <w:p w:rsidR="00266C60" w:rsidRPr="00F90913" w:rsidRDefault="00266C60" w:rsidP="00540387">
      <w:pPr>
        <w:rPr>
          <w:rFonts w:ascii="Arial" w:hAnsi="Arial" w:cs="Arial"/>
          <w:sz w:val="22"/>
          <w:szCs w:val="22"/>
        </w:rPr>
      </w:pPr>
    </w:p>
    <w:p w:rsidR="00266C60" w:rsidRPr="00C0405D" w:rsidRDefault="00266C60" w:rsidP="00266C60">
      <w:pPr>
        <w:pStyle w:val="Title"/>
        <w:tabs>
          <w:tab w:val="left" w:pos="3240"/>
        </w:tabs>
        <w:rPr>
          <w:b w:val="0"/>
          <w:sz w:val="26"/>
          <w:szCs w:val="26"/>
        </w:rPr>
      </w:pPr>
      <w:r>
        <w:rPr>
          <w:b w:val="0"/>
          <w:sz w:val="26"/>
          <w:szCs w:val="26"/>
        </w:rPr>
        <w:t>Going Forward with MAT with Bupr</w:t>
      </w:r>
      <w:r>
        <w:rPr>
          <w:b w:val="0"/>
          <w:sz w:val="26"/>
          <w:szCs w:val="26"/>
        </w:rPr>
        <w:t>e</w:t>
      </w:r>
      <w:r>
        <w:rPr>
          <w:b w:val="0"/>
          <w:sz w:val="26"/>
          <w:szCs w:val="26"/>
        </w:rPr>
        <w:t>norphine</w:t>
      </w:r>
    </w:p>
    <w:p w:rsidR="00266C60" w:rsidRDefault="00266C60" w:rsidP="00266C60">
      <w:pPr>
        <w:pStyle w:val="NormalWeb"/>
        <w:spacing w:line="276" w:lineRule="auto"/>
        <w:rPr>
          <w:rFonts w:asciiTheme="minorHAnsi" w:eastAsiaTheme="minorEastAsia" w:hAnsiTheme="minorHAnsi" w:cstheme="minorBidi"/>
          <w:sz w:val="22"/>
          <w:szCs w:val="22"/>
          <w:lang w:eastAsia="ja-JP"/>
        </w:rPr>
      </w:pPr>
      <w:r w:rsidRPr="006E579A">
        <w:rPr>
          <w:rFonts w:ascii="Meiryo UI" w:eastAsia="Meiryo UI" w:hAnsi="Meiryo UI" w:cs="Meiryo UI"/>
          <w:noProof/>
          <w:sz w:val="48"/>
          <w:szCs w:val="48"/>
        </w:rPr>
        <mc:AlternateContent>
          <mc:Choice Requires="wps">
            <w:drawing>
              <wp:anchor distT="0" distB="0" distL="114300" distR="114300" simplePos="0" relativeHeight="251663360" behindDoc="0" locked="0" layoutInCell="1" allowOverlap="1" wp14:anchorId="150B25EF" wp14:editId="67BAEC4E">
                <wp:simplePos x="0" y="0"/>
                <wp:positionH relativeFrom="column">
                  <wp:posOffset>0</wp:posOffset>
                </wp:positionH>
                <wp:positionV relativeFrom="paragraph">
                  <wp:posOffset>0</wp:posOffset>
                </wp:positionV>
                <wp:extent cx="2032000" cy="71562"/>
                <wp:effectExtent l="0" t="0" r="6350" b="5080"/>
                <wp:wrapNone/>
                <wp:docPr id="2" name="Shape 19"/>
                <wp:cNvGraphicFramePr/>
                <a:graphic xmlns:a="http://schemas.openxmlformats.org/drawingml/2006/main">
                  <a:graphicData uri="http://schemas.microsoft.com/office/word/2010/wordprocessingShape">
                    <wps:wsp>
                      <wps:cNvSpPr/>
                      <wps:spPr>
                        <a:xfrm>
                          <a:off x="0" y="0"/>
                          <a:ext cx="2032000" cy="71562"/>
                        </a:xfrm>
                        <a:prstGeom prst="rect">
                          <a:avLst/>
                        </a:prstGeom>
                        <a:solidFill>
                          <a:srgbClr val="175996"/>
                        </a:solidFill>
                        <a:ln w="3175">
                          <a:miter lim="400000"/>
                        </a:ln>
                      </wps:spPr>
                      <wps:bodyPr lIns="69979" tIns="69979" rIns="69979" bIns="69979" anchor="ctr"/>
                    </wps:wsp>
                  </a:graphicData>
                </a:graphic>
                <wp14:sizeRelV relativeFrom="margin">
                  <wp14:pctHeight>0</wp14:pctHeight>
                </wp14:sizeRelV>
              </wp:anchor>
            </w:drawing>
          </mc:Choice>
          <mc:Fallback>
            <w:pict>
              <v:rect w14:anchorId="54C0EDA1" id="Shape 19" o:spid="_x0000_s1026" style="position:absolute;margin-left:0;margin-top:0;width:160pt;height: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" fillcolor="#175996" stroked="f" strokeweight=".25pt">
                <v:stroke miterlimit="4"/>
                <v:textbox inset="1.94386mm,1.94386mm,1.94386mm,1.94386mm"/>
              </v:rect>
            </w:pict>
          </mc:Fallback>
        </mc:AlternateContent>
      </w:r>
    </w:p>
    <w:p w:rsidR="007B41E2" w:rsidRPr="00F90913" w:rsidRDefault="007B41E2" w:rsidP="00540387">
      <w:pPr>
        <w:rPr>
          <w:rFonts w:ascii="Arial" w:hAnsi="Arial" w:cs="Arial"/>
          <w:sz w:val="22"/>
          <w:szCs w:val="22"/>
        </w:rPr>
      </w:pPr>
    </w:p>
    <w:p w:rsidR="00EC217F" w:rsidRPr="00F90913" w:rsidRDefault="00EC217F" w:rsidP="00540387">
      <w:pPr>
        <w:numPr>
          <w:ilvl w:val="0"/>
          <w:numId w:val="20"/>
        </w:numPr>
        <w:rPr>
          <w:rFonts w:ascii="Arial" w:hAnsi="Arial" w:cs="Arial"/>
          <w:sz w:val="22"/>
          <w:szCs w:val="22"/>
        </w:rPr>
      </w:pPr>
      <w:r w:rsidRPr="00F90913">
        <w:rPr>
          <w:rFonts w:ascii="Arial" w:hAnsi="Arial" w:cs="Arial"/>
          <w:sz w:val="22"/>
          <w:szCs w:val="22"/>
        </w:rPr>
        <w:t xml:space="preserve">Evaluations </w:t>
      </w:r>
    </w:p>
    <w:p w:rsidR="0006379F" w:rsidRPr="00F90913" w:rsidRDefault="0006379F" w:rsidP="0006379F">
      <w:pPr>
        <w:ind w:left="360"/>
        <w:jc w:val="both"/>
        <w:rPr>
          <w:rFonts w:ascii="Arial" w:hAnsi="Arial" w:cs="Arial"/>
          <w:sz w:val="22"/>
          <w:szCs w:val="22"/>
        </w:rPr>
      </w:pPr>
    </w:p>
    <w:p w:rsidR="00EC217F" w:rsidRPr="00F90913" w:rsidRDefault="00EC217F" w:rsidP="007B41E2">
      <w:pPr>
        <w:ind w:left="360"/>
        <w:jc w:val="both"/>
        <w:rPr>
          <w:rFonts w:ascii="Arial" w:hAnsi="Arial" w:cs="Arial"/>
          <w:b/>
          <w:sz w:val="22"/>
          <w:szCs w:val="22"/>
        </w:rPr>
      </w:pPr>
      <w:r w:rsidRPr="00F90913">
        <w:rPr>
          <w:rFonts w:ascii="Arial" w:hAnsi="Arial" w:cs="Arial"/>
          <w:sz w:val="22"/>
          <w:szCs w:val="22"/>
        </w:rPr>
        <w:t xml:space="preserve">Prior to induction, every patient should have full evaluation, history, physical, and laboratory testing. </w:t>
      </w:r>
      <w:r w:rsidR="00CC010F" w:rsidRPr="00F90913">
        <w:rPr>
          <w:rFonts w:ascii="Arial" w:hAnsi="Arial" w:cs="Arial"/>
          <w:sz w:val="22"/>
          <w:szCs w:val="22"/>
        </w:rPr>
        <w:t xml:space="preserve"> </w:t>
      </w:r>
      <w:r w:rsidRPr="00F90913">
        <w:rPr>
          <w:rFonts w:ascii="Arial" w:hAnsi="Arial" w:cs="Arial"/>
          <w:sz w:val="22"/>
          <w:szCs w:val="22"/>
        </w:rPr>
        <w:t>Patient assessment should be completed and thoroughly reviewed with the MAT care team.</w:t>
      </w:r>
    </w:p>
    <w:p w:rsidR="00EC217F" w:rsidRPr="00F90913" w:rsidRDefault="00EC217F" w:rsidP="007B41E2">
      <w:pPr>
        <w:rPr>
          <w:rFonts w:ascii="Arial" w:hAnsi="Arial" w:cs="Arial"/>
          <w:sz w:val="22"/>
          <w:szCs w:val="22"/>
        </w:rPr>
      </w:pPr>
    </w:p>
    <w:p w:rsidR="0006379F" w:rsidRPr="00F90913" w:rsidRDefault="0006379F" w:rsidP="007B41E2">
      <w:pPr>
        <w:pStyle w:val="ListParagraph"/>
        <w:numPr>
          <w:ilvl w:val="1"/>
          <w:numId w:val="20"/>
        </w:numPr>
        <w:contextualSpacing w:val="0"/>
        <w:rPr>
          <w:rFonts w:ascii="Arial" w:hAnsi="Arial" w:cs="Arial"/>
          <w:sz w:val="22"/>
          <w:szCs w:val="22"/>
        </w:rPr>
      </w:pPr>
      <w:r w:rsidRPr="00F90913">
        <w:rPr>
          <w:rFonts w:ascii="Arial" w:hAnsi="Arial" w:cs="Arial"/>
          <w:sz w:val="22"/>
          <w:szCs w:val="22"/>
        </w:rPr>
        <w:t>Record diagnosis &amp; physiological dependence</w:t>
      </w:r>
    </w:p>
    <w:p w:rsidR="0006379F" w:rsidRPr="00F90913" w:rsidRDefault="0006379F" w:rsidP="0006379F">
      <w:pPr>
        <w:pStyle w:val="ListParagraph"/>
        <w:numPr>
          <w:ilvl w:val="1"/>
          <w:numId w:val="20"/>
        </w:numPr>
        <w:spacing w:before="120"/>
        <w:contextualSpacing w:val="0"/>
        <w:rPr>
          <w:rFonts w:ascii="Arial" w:hAnsi="Arial" w:cs="Arial"/>
          <w:sz w:val="22"/>
          <w:szCs w:val="22"/>
        </w:rPr>
      </w:pPr>
      <w:r w:rsidRPr="00F90913">
        <w:rPr>
          <w:rFonts w:ascii="Arial" w:hAnsi="Arial" w:cs="Arial"/>
          <w:sz w:val="22"/>
          <w:szCs w:val="22"/>
        </w:rPr>
        <w:t>Determine co-morbidity</w:t>
      </w:r>
    </w:p>
    <w:p w:rsidR="00F8448D" w:rsidRPr="00F90913" w:rsidRDefault="00F8448D" w:rsidP="0006379F">
      <w:pPr>
        <w:numPr>
          <w:ilvl w:val="1"/>
          <w:numId w:val="20"/>
        </w:numPr>
        <w:spacing w:before="120"/>
        <w:rPr>
          <w:rFonts w:ascii="Arial" w:hAnsi="Arial" w:cs="Arial"/>
          <w:sz w:val="22"/>
          <w:szCs w:val="22"/>
        </w:rPr>
      </w:pPr>
      <w:r w:rsidRPr="00F90913">
        <w:rPr>
          <w:rFonts w:ascii="Arial" w:hAnsi="Arial" w:cs="Arial"/>
          <w:sz w:val="22"/>
          <w:szCs w:val="22"/>
        </w:rPr>
        <w:t>Lab tests ordered:</w:t>
      </w:r>
    </w:p>
    <w:p w:rsidR="00F8448D" w:rsidRPr="00F90913" w:rsidRDefault="00F8448D" w:rsidP="0006379F">
      <w:pPr>
        <w:numPr>
          <w:ilvl w:val="2"/>
          <w:numId w:val="23"/>
        </w:numPr>
        <w:spacing w:before="120"/>
        <w:rPr>
          <w:rFonts w:ascii="Arial" w:hAnsi="Arial" w:cs="Arial"/>
          <w:sz w:val="22"/>
          <w:szCs w:val="22"/>
        </w:rPr>
      </w:pPr>
      <w:r w:rsidRPr="00F90913">
        <w:rPr>
          <w:rFonts w:ascii="Arial" w:hAnsi="Arial" w:cs="Arial"/>
          <w:sz w:val="22"/>
          <w:szCs w:val="22"/>
        </w:rPr>
        <w:t>CBC, Comprehensive metabolic panel</w:t>
      </w:r>
    </w:p>
    <w:p w:rsidR="00F8448D" w:rsidRPr="00F90913" w:rsidRDefault="00F8448D" w:rsidP="0006379F">
      <w:pPr>
        <w:numPr>
          <w:ilvl w:val="2"/>
          <w:numId w:val="23"/>
        </w:numPr>
        <w:spacing w:before="120"/>
        <w:rPr>
          <w:rFonts w:ascii="Arial" w:hAnsi="Arial" w:cs="Arial"/>
          <w:sz w:val="22"/>
          <w:szCs w:val="22"/>
        </w:rPr>
      </w:pPr>
      <w:r w:rsidRPr="00F90913">
        <w:rPr>
          <w:rFonts w:ascii="Arial" w:hAnsi="Arial" w:cs="Arial"/>
          <w:sz w:val="22"/>
          <w:szCs w:val="22"/>
        </w:rPr>
        <w:t>Hepatitis B Surface Ab and Ag, Hepatitis C Ab, HIV Ab</w:t>
      </w:r>
    </w:p>
    <w:p w:rsidR="00F8448D" w:rsidRPr="00F90913" w:rsidRDefault="00F8448D" w:rsidP="0006379F">
      <w:pPr>
        <w:numPr>
          <w:ilvl w:val="2"/>
          <w:numId w:val="23"/>
        </w:numPr>
        <w:spacing w:before="120"/>
        <w:rPr>
          <w:rFonts w:ascii="Arial" w:hAnsi="Arial" w:cs="Arial"/>
          <w:sz w:val="22"/>
          <w:szCs w:val="22"/>
        </w:rPr>
      </w:pPr>
      <w:r w:rsidRPr="00F90913">
        <w:rPr>
          <w:rFonts w:ascii="Arial" w:hAnsi="Arial" w:cs="Arial"/>
          <w:sz w:val="22"/>
          <w:szCs w:val="22"/>
        </w:rPr>
        <w:t>STI screen: GC, CT</w:t>
      </w:r>
    </w:p>
    <w:p w:rsidR="00F8448D" w:rsidRPr="00F90913" w:rsidRDefault="00F8448D" w:rsidP="0006379F">
      <w:pPr>
        <w:numPr>
          <w:ilvl w:val="2"/>
          <w:numId w:val="23"/>
        </w:numPr>
        <w:spacing w:before="120"/>
        <w:rPr>
          <w:rFonts w:ascii="Arial" w:hAnsi="Arial" w:cs="Arial"/>
          <w:sz w:val="22"/>
          <w:szCs w:val="22"/>
        </w:rPr>
      </w:pPr>
      <w:r w:rsidRPr="00F90913">
        <w:rPr>
          <w:rFonts w:ascii="Arial" w:hAnsi="Arial" w:cs="Arial"/>
          <w:sz w:val="22"/>
          <w:szCs w:val="22"/>
        </w:rPr>
        <w:t xml:space="preserve">Pregnancy test </w:t>
      </w:r>
    </w:p>
    <w:p w:rsidR="00F8448D" w:rsidRPr="00F90913" w:rsidRDefault="00F8448D" w:rsidP="0006379F">
      <w:pPr>
        <w:numPr>
          <w:ilvl w:val="2"/>
          <w:numId w:val="23"/>
        </w:numPr>
        <w:spacing w:before="120"/>
        <w:rPr>
          <w:rFonts w:ascii="Arial" w:hAnsi="Arial" w:cs="Arial"/>
          <w:sz w:val="22"/>
          <w:szCs w:val="22"/>
        </w:rPr>
      </w:pPr>
      <w:r w:rsidRPr="00F90913">
        <w:rPr>
          <w:rFonts w:ascii="Arial" w:hAnsi="Arial" w:cs="Arial"/>
          <w:sz w:val="22"/>
          <w:szCs w:val="22"/>
        </w:rPr>
        <w:t>Urine toxicology screens: standard EIA, oxycodone, buprenorphine and metabolites, Ethyl glucuronide/ethyl sulfate</w:t>
      </w:r>
    </w:p>
    <w:p w:rsidR="009A5793" w:rsidRPr="00F90913" w:rsidRDefault="009A5793" w:rsidP="009A5793">
      <w:pPr>
        <w:rPr>
          <w:sz w:val="22"/>
          <w:szCs w:val="22"/>
        </w:rPr>
      </w:pPr>
    </w:p>
    <w:p w:rsidR="00540387" w:rsidRPr="00F90913" w:rsidRDefault="00540387" w:rsidP="00540387">
      <w:pPr>
        <w:rPr>
          <w:rFonts w:ascii="Arial" w:hAnsi="Arial" w:cs="Arial"/>
          <w:sz w:val="22"/>
          <w:szCs w:val="22"/>
        </w:rPr>
      </w:pPr>
    </w:p>
    <w:p w:rsidR="0006379F" w:rsidRPr="00F90913" w:rsidRDefault="009A5793" w:rsidP="00540387">
      <w:pPr>
        <w:numPr>
          <w:ilvl w:val="0"/>
          <w:numId w:val="20"/>
        </w:numPr>
        <w:rPr>
          <w:rFonts w:ascii="Arial" w:hAnsi="Arial" w:cs="Arial"/>
          <w:sz w:val="22"/>
          <w:szCs w:val="22"/>
        </w:rPr>
      </w:pPr>
      <w:r w:rsidRPr="00F90913">
        <w:rPr>
          <w:rFonts w:ascii="Arial" w:hAnsi="Arial" w:cs="Arial"/>
          <w:sz w:val="22"/>
          <w:szCs w:val="22"/>
        </w:rPr>
        <w:t>MAT Overview Appointment</w:t>
      </w:r>
      <w:r w:rsidR="00F8448D" w:rsidRPr="00F90913">
        <w:rPr>
          <w:rFonts w:ascii="Arial" w:hAnsi="Arial" w:cs="Arial"/>
          <w:sz w:val="22"/>
          <w:szCs w:val="22"/>
        </w:rPr>
        <w:t>:</w:t>
      </w:r>
      <w:r w:rsidR="0006379F" w:rsidRPr="00F90913">
        <w:rPr>
          <w:rFonts w:ascii="Arial" w:hAnsi="Arial" w:cs="Arial"/>
          <w:sz w:val="22"/>
          <w:szCs w:val="22"/>
        </w:rPr>
        <w:t xml:space="preserve"> </w:t>
      </w:r>
      <w:r w:rsidR="0006379F" w:rsidRPr="00F90913">
        <w:rPr>
          <w:rFonts w:ascii="Arial" w:hAnsi="Arial" w:cs="Arial"/>
          <w:sz w:val="22"/>
          <w:szCs w:val="22"/>
        </w:rPr>
        <w:br/>
      </w:r>
    </w:p>
    <w:p w:rsidR="00F8448D" w:rsidRPr="00F90913" w:rsidRDefault="0006379F" w:rsidP="00540387">
      <w:pPr>
        <w:ind w:firstLine="360"/>
        <w:rPr>
          <w:sz w:val="22"/>
          <w:szCs w:val="22"/>
        </w:rPr>
      </w:pPr>
      <w:r w:rsidRPr="00F90913">
        <w:rPr>
          <w:sz w:val="22"/>
          <w:szCs w:val="22"/>
        </w:rPr>
        <w:t xml:space="preserve">This appointment is critical to successful MAT. </w:t>
      </w:r>
      <w:r w:rsidR="00CC010F" w:rsidRPr="00F90913">
        <w:rPr>
          <w:sz w:val="22"/>
          <w:szCs w:val="22"/>
        </w:rPr>
        <w:t xml:space="preserve"> </w:t>
      </w:r>
      <w:r w:rsidRPr="00F90913">
        <w:rPr>
          <w:sz w:val="22"/>
          <w:szCs w:val="22"/>
        </w:rPr>
        <w:t xml:space="preserve">Allow about 30 minutes and cover the following: </w:t>
      </w:r>
    </w:p>
    <w:p w:rsidR="0006379F" w:rsidRPr="00F90913" w:rsidRDefault="0006379F" w:rsidP="00540387">
      <w:pPr>
        <w:ind w:firstLine="360"/>
        <w:rPr>
          <w:sz w:val="22"/>
          <w:szCs w:val="22"/>
        </w:rPr>
      </w:pPr>
    </w:p>
    <w:p w:rsidR="00F8448D" w:rsidRPr="00F90913" w:rsidRDefault="00F8448D" w:rsidP="0006379F">
      <w:pPr>
        <w:numPr>
          <w:ilvl w:val="1"/>
          <w:numId w:val="20"/>
        </w:numPr>
        <w:spacing w:before="120"/>
        <w:rPr>
          <w:rFonts w:ascii="Arial" w:hAnsi="Arial" w:cs="Arial"/>
          <w:sz w:val="22"/>
          <w:szCs w:val="22"/>
        </w:rPr>
      </w:pPr>
      <w:r w:rsidRPr="00F90913">
        <w:rPr>
          <w:rFonts w:ascii="Arial" w:hAnsi="Arial" w:cs="Arial"/>
          <w:sz w:val="22"/>
          <w:szCs w:val="22"/>
        </w:rPr>
        <w:t>Confirm diagnosis of at least moderate opioid use disorder</w:t>
      </w:r>
    </w:p>
    <w:p w:rsidR="00F8448D" w:rsidRPr="00F90913" w:rsidRDefault="00F8448D" w:rsidP="0006379F">
      <w:pPr>
        <w:numPr>
          <w:ilvl w:val="1"/>
          <w:numId w:val="20"/>
        </w:numPr>
        <w:spacing w:before="120"/>
        <w:rPr>
          <w:rFonts w:ascii="Arial" w:hAnsi="Arial" w:cs="Arial"/>
          <w:sz w:val="22"/>
          <w:szCs w:val="22"/>
        </w:rPr>
      </w:pPr>
      <w:r w:rsidRPr="00F90913">
        <w:rPr>
          <w:rFonts w:ascii="Arial" w:hAnsi="Arial" w:cs="Arial"/>
          <w:sz w:val="22"/>
          <w:szCs w:val="22"/>
        </w:rPr>
        <w:t>Review lab results including urine toxicology test</w:t>
      </w:r>
    </w:p>
    <w:p w:rsidR="00F8448D" w:rsidRPr="00F90913" w:rsidRDefault="00F8448D" w:rsidP="0006379F">
      <w:pPr>
        <w:numPr>
          <w:ilvl w:val="1"/>
          <w:numId w:val="20"/>
        </w:numPr>
        <w:spacing w:before="120"/>
        <w:rPr>
          <w:rFonts w:ascii="Arial" w:hAnsi="Arial" w:cs="Arial"/>
          <w:sz w:val="22"/>
          <w:szCs w:val="22"/>
        </w:rPr>
      </w:pPr>
      <w:r w:rsidRPr="00F90913">
        <w:rPr>
          <w:rFonts w:ascii="Arial" w:hAnsi="Arial" w:cs="Arial"/>
          <w:sz w:val="22"/>
          <w:szCs w:val="22"/>
        </w:rPr>
        <w:t xml:space="preserve">Check </w:t>
      </w:r>
      <w:r w:rsidR="009A5793" w:rsidRPr="00F90913">
        <w:rPr>
          <w:sz w:val="22"/>
          <w:szCs w:val="22"/>
        </w:rPr>
        <w:t xml:space="preserve">Prescription Drug Monitoring Program </w:t>
      </w:r>
      <w:r w:rsidRPr="00F90913">
        <w:rPr>
          <w:rFonts w:ascii="Arial" w:hAnsi="Arial" w:cs="Arial"/>
          <w:sz w:val="22"/>
          <w:szCs w:val="22"/>
        </w:rPr>
        <w:t>PDMP</w:t>
      </w:r>
    </w:p>
    <w:p w:rsidR="00F8448D" w:rsidRPr="00F90913" w:rsidRDefault="0006379F" w:rsidP="0006379F">
      <w:pPr>
        <w:numPr>
          <w:ilvl w:val="1"/>
          <w:numId w:val="20"/>
        </w:numPr>
        <w:spacing w:before="120"/>
        <w:rPr>
          <w:rFonts w:ascii="Arial" w:hAnsi="Arial" w:cs="Arial"/>
          <w:sz w:val="22"/>
          <w:szCs w:val="22"/>
        </w:rPr>
      </w:pPr>
      <w:r w:rsidRPr="00F90913">
        <w:rPr>
          <w:rFonts w:ascii="Arial" w:hAnsi="Arial" w:cs="Arial"/>
          <w:sz w:val="22"/>
          <w:szCs w:val="22"/>
        </w:rPr>
        <w:lastRenderedPageBreak/>
        <w:t>Review and sign C</w:t>
      </w:r>
      <w:r w:rsidR="00F8448D" w:rsidRPr="00F90913">
        <w:rPr>
          <w:rFonts w:ascii="Arial" w:hAnsi="Arial" w:cs="Arial"/>
          <w:sz w:val="22"/>
          <w:szCs w:val="22"/>
        </w:rPr>
        <w:t>onsent</w:t>
      </w:r>
      <w:r w:rsidRPr="00F90913">
        <w:rPr>
          <w:rFonts w:ascii="Arial" w:hAnsi="Arial" w:cs="Arial"/>
          <w:sz w:val="22"/>
          <w:szCs w:val="22"/>
        </w:rPr>
        <w:t xml:space="preserve"> Form</w:t>
      </w:r>
    </w:p>
    <w:p w:rsidR="0006379F" w:rsidRPr="00F90913" w:rsidRDefault="0006379F" w:rsidP="0006379F">
      <w:pPr>
        <w:numPr>
          <w:ilvl w:val="1"/>
          <w:numId w:val="20"/>
        </w:numPr>
        <w:spacing w:before="120"/>
        <w:rPr>
          <w:rFonts w:ascii="Arial" w:hAnsi="Arial" w:cs="Arial"/>
          <w:sz w:val="22"/>
          <w:szCs w:val="22"/>
        </w:rPr>
      </w:pPr>
      <w:r w:rsidRPr="00F90913">
        <w:rPr>
          <w:rFonts w:ascii="Arial" w:hAnsi="Arial" w:cs="Arial"/>
          <w:sz w:val="22"/>
          <w:szCs w:val="22"/>
        </w:rPr>
        <w:t>Review Treatment Agreement Form</w:t>
      </w:r>
    </w:p>
    <w:p w:rsidR="00F8448D" w:rsidRPr="00F90913" w:rsidRDefault="00F8448D" w:rsidP="0006379F">
      <w:pPr>
        <w:numPr>
          <w:ilvl w:val="1"/>
          <w:numId w:val="20"/>
        </w:numPr>
        <w:spacing w:before="120"/>
        <w:rPr>
          <w:rFonts w:ascii="Arial" w:hAnsi="Arial" w:cs="Arial"/>
          <w:sz w:val="22"/>
          <w:szCs w:val="22"/>
        </w:rPr>
      </w:pPr>
      <w:r w:rsidRPr="00F90913">
        <w:rPr>
          <w:rFonts w:ascii="Arial" w:hAnsi="Arial" w:cs="Arial"/>
          <w:sz w:val="22"/>
          <w:szCs w:val="22"/>
        </w:rPr>
        <w:t>Complete prior authorization request if needed</w:t>
      </w:r>
      <w:r w:rsidR="0006379F" w:rsidRPr="00F90913">
        <w:rPr>
          <w:rFonts w:ascii="Arial" w:hAnsi="Arial" w:cs="Arial"/>
          <w:sz w:val="22"/>
          <w:szCs w:val="22"/>
        </w:rPr>
        <w:t xml:space="preserve"> (see Legislation Summary in Chapter 9 for information on prior authorization requirements in Colorado)</w:t>
      </w:r>
    </w:p>
    <w:p w:rsidR="00F8448D" w:rsidRPr="00F90913" w:rsidRDefault="00F8448D" w:rsidP="0006379F">
      <w:pPr>
        <w:numPr>
          <w:ilvl w:val="1"/>
          <w:numId w:val="20"/>
        </w:numPr>
        <w:spacing w:before="120"/>
        <w:rPr>
          <w:rFonts w:ascii="Arial" w:hAnsi="Arial" w:cs="Arial"/>
          <w:sz w:val="22"/>
          <w:szCs w:val="22"/>
        </w:rPr>
      </w:pPr>
      <w:r w:rsidRPr="00F90913">
        <w:rPr>
          <w:rFonts w:ascii="Arial" w:hAnsi="Arial" w:cs="Arial"/>
          <w:sz w:val="22"/>
          <w:szCs w:val="22"/>
        </w:rPr>
        <w:t>Determine if patient appropriate for home or clinic induction (see separate instructions)</w:t>
      </w:r>
    </w:p>
    <w:p w:rsidR="0006379F" w:rsidRPr="00F90913" w:rsidRDefault="00F8448D" w:rsidP="0006379F">
      <w:pPr>
        <w:numPr>
          <w:ilvl w:val="1"/>
          <w:numId w:val="20"/>
        </w:numPr>
        <w:spacing w:before="120"/>
        <w:rPr>
          <w:rFonts w:ascii="Arial" w:hAnsi="Arial" w:cs="Arial"/>
          <w:sz w:val="22"/>
          <w:szCs w:val="22"/>
        </w:rPr>
      </w:pPr>
      <w:r w:rsidRPr="00F90913">
        <w:rPr>
          <w:rFonts w:ascii="Arial" w:hAnsi="Arial" w:cs="Arial"/>
          <w:sz w:val="22"/>
          <w:szCs w:val="22"/>
        </w:rPr>
        <w:t>Schedule follow up visits (no less than weekly for first 4 weeks)</w:t>
      </w:r>
    </w:p>
    <w:p w:rsidR="0006379F" w:rsidRPr="00F90913" w:rsidRDefault="0006379F" w:rsidP="0006379F">
      <w:pPr>
        <w:numPr>
          <w:ilvl w:val="1"/>
          <w:numId w:val="20"/>
        </w:numPr>
        <w:spacing w:before="120"/>
        <w:rPr>
          <w:rFonts w:ascii="Arial" w:hAnsi="Arial" w:cs="Arial"/>
          <w:sz w:val="22"/>
          <w:szCs w:val="22"/>
        </w:rPr>
      </w:pPr>
      <w:r w:rsidRPr="00F90913">
        <w:rPr>
          <w:sz w:val="22"/>
          <w:szCs w:val="22"/>
        </w:rPr>
        <w:t>Withdrawal timing: Verify with patients their current use (type, amount, duration) and set a “stop time.”</w:t>
      </w:r>
    </w:p>
    <w:p w:rsidR="007B41E2" w:rsidRPr="0006379F" w:rsidRDefault="007B41E2" w:rsidP="007B41E2">
      <w:pPr>
        <w:spacing w:before="120"/>
        <w:ind w:left="1080"/>
        <w:rPr>
          <w:rFonts w:ascii="Arial" w:hAnsi="Arial" w:cs="Arial"/>
          <w:sz w:val="22"/>
          <w:szCs w:val="22"/>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646"/>
        <w:gridCol w:w="5098"/>
      </w:tblGrid>
      <w:tr w:rsidR="0006379F" w:rsidRPr="003A3666" w:rsidTr="00672590">
        <w:trPr>
          <w:trHeight w:val="215"/>
        </w:trPr>
        <w:tc>
          <w:tcPr>
            <w:tcW w:w="1620" w:type="dxa"/>
            <w:shd w:val="clear" w:color="auto" w:fill="E7E6E6"/>
          </w:tcPr>
          <w:p w:rsidR="0006379F" w:rsidRPr="002A005A" w:rsidRDefault="0006379F" w:rsidP="00672590">
            <w:pPr>
              <w:widowControl w:val="0"/>
              <w:rPr>
                <w:rFonts w:eastAsia="EB Garamond" w:cs="Calibri"/>
                <w:b/>
              </w:rPr>
            </w:pPr>
            <w:r w:rsidRPr="002A005A">
              <w:rPr>
                <w:rFonts w:eastAsia="EB Garamond" w:cs="Calibri"/>
                <w:b/>
              </w:rPr>
              <w:t>Type of Opioid</w:t>
            </w:r>
          </w:p>
        </w:tc>
        <w:tc>
          <w:tcPr>
            <w:tcW w:w="2700" w:type="dxa"/>
            <w:shd w:val="clear" w:color="auto" w:fill="E7E6E6"/>
          </w:tcPr>
          <w:p w:rsidR="0006379F" w:rsidRPr="002A005A" w:rsidRDefault="0006379F" w:rsidP="00672590">
            <w:pPr>
              <w:widowControl w:val="0"/>
              <w:rPr>
                <w:rFonts w:eastAsia="EB Garamond" w:cs="Calibri"/>
                <w:b/>
              </w:rPr>
            </w:pPr>
            <w:r w:rsidRPr="002A005A">
              <w:rPr>
                <w:rFonts w:eastAsia="EB Garamond" w:cs="Calibri"/>
                <w:b/>
              </w:rPr>
              <w:t>Examples</w:t>
            </w:r>
          </w:p>
        </w:tc>
        <w:tc>
          <w:tcPr>
            <w:tcW w:w="5310" w:type="dxa"/>
            <w:shd w:val="clear" w:color="auto" w:fill="E7E6E6"/>
          </w:tcPr>
          <w:p w:rsidR="0006379F" w:rsidRPr="002A005A" w:rsidRDefault="0006379F" w:rsidP="00672590">
            <w:pPr>
              <w:widowControl w:val="0"/>
              <w:rPr>
                <w:rFonts w:eastAsia="EB Garamond" w:cs="Calibri"/>
                <w:b/>
              </w:rPr>
            </w:pPr>
            <w:r w:rsidRPr="002A005A">
              <w:rPr>
                <w:rFonts w:eastAsia="EB Garamond" w:cs="Calibri"/>
                <w:b/>
              </w:rPr>
              <w:t>When to Stop</w:t>
            </w:r>
          </w:p>
        </w:tc>
      </w:tr>
      <w:tr w:rsidR="0006379F" w:rsidRPr="003A3666" w:rsidTr="00672590">
        <w:trPr>
          <w:trHeight w:val="593"/>
        </w:trPr>
        <w:tc>
          <w:tcPr>
            <w:tcW w:w="1620" w:type="dxa"/>
            <w:shd w:val="clear" w:color="auto" w:fill="auto"/>
          </w:tcPr>
          <w:p w:rsidR="0006379F" w:rsidRPr="00C31A7F" w:rsidRDefault="0006379F" w:rsidP="00672590">
            <w:pPr>
              <w:widowControl w:val="0"/>
              <w:rPr>
                <w:rFonts w:eastAsia="EB Garamond" w:cs="Calibri"/>
              </w:rPr>
            </w:pPr>
            <w:r w:rsidRPr="00C31A7F">
              <w:rPr>
                <w:rFonts w:eastAsia="EB Garamond" w:cs="Calibri"/>
              </w:rPr>
              <w:t>Short-acting</w:t>
            </w:r>
          </w:p>
        </w:tc>
        <w:tc>
          <w:tcPr>
            <w:tcW w:w="2700" w:type="dxa"/>
            <w:shd w:val="clear" w:color="auto" w:fill="auto"/>
          </w:tcPr>
          <w:p w:rsidR="0006379F" w:rsidRPr="00C31A7F" w:rsidRDefault="0006379F" w:rsidP="00672590">
            <w:pPr>
              <w:widowControl w:val="0"/>
              <w:rPr>
                <w:rFonts w:eastAsia="EB Garamond" w:cs="Calibri"/>
              </w:rPr>
            </w:pPr>
            <w:r w:rsidRPr="00C31A7F">
              <w:rPr>
                <w:rFonts w:eastAsia="EB Garamond" w:cs="Calibri"/>
              </w:rPr>
              <w:t>Percocet, Vicodin (hydrocodone), Heroin</w:t>
            </w:r>
          </w:p>
        </w:tc>
        <w:tc>
          <w:tcPr>
            <w:tcW w:w="5310" w:type="dxa"/>
            <w:shd w:val="clear" w:color="auto" w:fill="auto"/>
          </w:tcPr>
          <w:p w:rsidR="0006379F" w:rsidRPr="00C31A7F" w:rsidRDefault="0006379F" w:rsidP="00672590">
            <w:pPr>
              <w:widowControl w:val="0"/>
              <w:rPr>
                <w:rFonts w:eastAsia="EB Garamond" w:cs="Calibri"/>
              </w:rPr>
            </w:pPr>
            <w:r w:rsidRPr="00C31A7F">
              <w:rPr>
                <w:rFonts w:eastAsia="EB Garamond" w:cs="Calibri"/>
              </w:rPr>
              <w:t xml:space="preserve">12-24 hours before first dose. </w:t>
            </w:r>
          </w:p>
          <w:p w:rsidR="0006379F" w:rsidRPr="00C31A7F" w:rsidRDefault="0006379F" w:rsidP="00672590">
            <w:pPr>
              <w:widowControl w:val="0"/>
              <w:rPr>
                <w:rFonts w:eastAsia="EB Garamond" w:cs="Calibri"/>
                <w:i/>
              </w:rPr>
            </w:pPr>
            <w:r w:rsidRPr="00C31A7F">
              <w:rPr>
                <w:rFonts w:eastAsia="EB Garamond" w:cs="Calibri"/>
                <w:i/>
              </w:rPr>
              <w:t>Example: Stop at Sunday at 12noon for a Monday induction.</w:t>
            </w:r>
          </w:p>
        </w:tc>
      </w:tr>
      <w:tr w:rsidR="0006379F" w:rsidRPr="003A3666" w:rsidTr="00672590">
        <w:tc>
          <w:tcPr>
            <w:tcW w:w="1620" w:type="dxa"/>
            <w:shd w:val="clear" w:color="auto" w:fill="auto"/>
          </w:tcPr>
          <w:p w:rsidR="0006379F" w:rsidRPr="00C31A7F" w:rsidRDefault="0006379F" w:rsidP="00672590">
            <w:pPr>
              <w:widowControl w:val="0"/>
              <w:rPr>
                <w:rFonts w:eastAsia="EB Garamond" w:cs="Calibri"/>
              </w:rPr>
            </w:pPr>
            <w:r w:rsidRPr="00C31A7F">
              <w:rPr>
                <w:rFonts w:eastAsia="EB Garamond" w:cs="Calibri"/>
              </w:rPr>
              <w:t>Long-acting</w:t>
            </w:r>
          </w:p>
        </w:tc>
        <w:tc>
          <w:tcPr>
            <w:tcW w:w="2700" w:type="dxa"/>
            <w:shd w:val="clear" w:color="auto" w:fill="auto"/>
          </w:tcPr>
          <w:p w:rsidR="0006379F" w:rsidRPr="00C31A7F" w:rsidRDefault="0006379F" w:rsidP="00672590">
            <w:pPr>
              <w:widowControl w:val="0"/>
              <w:rPr>
                <w:rFonts w:eastAsia="EB Garamond" w:cs="Calibri"/>
              </w:rPr>
            </w:pPr>
            <w:proofErr w:type="spellStart"/>
            <w:r w:rsidRPr="00C31A7F">
              <w:rPr>
                <w:rFonts w:eastAsia="EB Garamond" w:cs="Calibri"/>
              </w:rPr>
              <w:t>Oxycontin</w:t>
            </w:r>
            <w:proofErr w:type="spellEnd"/>
            <w:r w:rsidRPr="00C31A7F">
              <w:rPr>
                <w:rFonts w:eastAsia="EB Garamond" w:cs="Calibri"/>
              </w:rPr>
              <w:t xml:space="preserve">, MS </w:t>
            </w:r>
            <w:proofErr w:type="spellStart"/>
            <w:r w:rsidRPr="00C31A7F">
              <w:rPr>
                <w:rFonts w:eastAsia="EB Garamond" w:cs="Calibri"/>
              </w:rPr>
              <w:t>Contin</w:t>
            </w:r>
            <w:proofErr w:type="spellEnd"/>
            <w:r w:rsidRPr="00C31A7F">
              <w:rPr>
                <w:rFonts w:eastAsia="EB Garamond" w:cs="Calibri"/>
              </w:rPr>
              <w:t>/Morphine, Methadone</w:t>
            </w:r>
          </w:p>
        </w:tc>
        <w:tc>
          <w:tcPr>
            <w:tcW w:w="5310" w:type="dxa"/>
            <w:shd w:val="clear" w:color="auto" w:fill="auto"/>
          </w:tcPr>
          <w:p w:rsidR="0006379F" w:rsidRPr="00C31A7F" w:rsidRDefault="0006379F" w:rsidP="0006379F">
            <w:pPr>
              <w:pStyle w:val="ListParagraph"/>
              <w:widowControl w:val="0"/>
              <w:numPr>
                <w:ilvl w:val="0"/>
                <w:numId w:val="25"/>
              </w:numPr>
              <w:contextualSpacing w:val="0"/>
              <w:rPr>
                <w:rFonts w:eastAsia="EB Garamond" w:cs="Calibri"/>
              </w:rPr>
            </w:pPr>
            <w:r w:rsidRPr="00C31A7F">
              <w:rPr>
                <w:rFonts w:eastAsia="EB Garamond" w:cs="Calibri"/>
              </w:rPr>
              <w:t xml:space="preserve">36 hours before first dose for </w:t>
            </w:r>
            <w:proofErr w:type="spellStart"/>
            <w:r w:rsidRPr="00C31A7F">
              <w:rPr>
                <w:rFonts w:eastAsia="EB Garamond" w:cs="Calibri"/>
              </w:rPr>
              <w:t>Oxycontin</w:t>
            </w:r>
            <w:proofErr w:type="spellEnd"/>
            <w:r w:rsidRPr="00C31A7F">
              <w:rPr>
                <w:rFonts w:eastAsia="EB Garamond" w:cs="Calibri"/>
              </w:rPr>
              <w:t>, Morphine</w:t>
            </w:r>
          </w:p>
          <w:p w:rsidR="0006379F" w:rsidRPr="00C31A7F" w:rsidRDefault="0006379F" w:rsidP="0006379F">
            <w:pPr>
              <w:pStyle w:val="ListParagraph"/>
              <w:widowControl w:val="0"/>
              <w:numPr>
                <w:ilvl w:val="0"/>
                <w:numId w:val="25"/>
              </w:numPr>
              <w:contextualSpacing w:val="0"/>
              <w:rPr>
                <w:rFonts w:eastAsia="EB Garamond" w:cs="Calibri"/>
              </w:rPr>
            </w:pPr>
            <w:r w:rsidRPr="00C31A7F">
              <w:rPr>
                <w:rFonts w:eastAsia="EB Garamond" w:cs="Calibri"/>
              </w:rPr>
              <w:t>&gt;48 hours for Methadone</w:t>
            </w:r>
          </w:p>
          <w:p w:rsidR="0006379F" w:rsidRPr="00C31A7F" w:rsidRDefault="0006379F" w:rsidP="00672590">
            <w:pPr>
              <w:widowControl w:val="0"/>
              <w:rPr>
                <w:rFonts w:eastAsia="EB Garamond" w:cs="Calibri"/>
                <w:i/>
              </w:rPr>
            </w:pPr>
            <w:r w:rsidRPr="00C31A7F">
              <w:rPr>
                <w:rFonts w:eastAsia="EB Garamond" w:cs="Calibri"/>
                <w:i/>
              </w:rPr>
              <w:t>Example: Stop at Saturday at 12noon for a Monday induction.</w:t>
            </w:r>
          </w:p>
        </w:tc>
      </w:tr>
    </w:tbl>
    <w:p w:rsidR="0006379F" w:rsidRDefault="0006379F" w:rsidP="0006379F">
      <w:pPr>
        <w:pStyle w:val="ListParagraph"/>
        <w:ind w:left="0"/>
      </w:pPr>
    </w:p>
    <w:p w:rsidR="007B41E2" w:rsidRDefault="007B41E2" w:rsidP="0006379F">
      <w:pPr>
        <w:pStyle w:val="ListParagraph"/>
        <w:ind w:left="0"/>
      </w:pPr>
    </w:p>
    <w:p w:rsidR="0006379F" w:rsidRPr="00F90913" w:rsidRDefault="0006379F" w:rsidP="007B41E2">
      <w:pPr>
        <w:pStyle w:val="ListParagraph"/>
        <w:numPr>
          <w:ilvl w:val="0"/>
          <w:numId w:val="31"/>
        </w:numPr>
        <w:spacing w:after="120"/>
        <w:contextualSpacing w:val="0"/>
        <w:rPr>
          <w:rFonts w:ascii="Arial" w:hAnsi="Arial" w:cs="Arial"/>
          <w:sz w:val="22"/>
          <w:szCs w:val="22"/>
        </w:rPr>
      </w:pPr>
      <w:r w:rsidRPr="00F90913">
        <w:rPr>
          <w:rFonts w:ascii="Arial" w:hAnsi="Arial" w:cs="Arial"/>
          <w:sz w:val="22"/>
          <w:szCs w:val="22"/>
        </w:rPr>
        <w:t>Safety/Concerns:</w:t>
      </w:r>
      <w:r w:rsidR="00540387" w:rsidRPr="00F90913">
        <w:rPr>
          <w:rFonts w:ascii="Arial" w:hAnsi="Arial" w:cs="Arial"/>
          <w:sz w:val="22"/>
          <w:szCs w:val="22"/>
        </w:rPr>
        <w:t xml:space="preserve"> lowest effective dose should be taken,</w:t>
      </w:r>
      <w:r w:rsidRPr="00F90913">
        <w:rPr>
          <w:rFonts w:ascii="Arial" w:hAnsi="Arial" w:cs="Arial"/>
          <w:sz w:val="22"/>
          <w:szCs w:val="22"/>
        </w:rPr>
        <w:t xml:space="preserve"> interaction risks, avoid driving, safe storage</w:t>
      </w:r>
      <w:r w:rsidR="00540387" w:rsidRPr="00F90913">
        <w:rPr>
          <w:rFonts w:ascii="Arial" w:hAnsi="Arial" w:cs="Arial"/>
          <w:sz w:val="22"/>
          <w:szCs w:val="22"/>
        </w:rPr>
        <w:t xml:space="preserve"> (e.g., not in reach of children)</w:t>
      </w:r>
    </w:p>
    <w:p w:rsidR="0006379F" w:rsidRPr="00F90913" w:rsidRDefault="0006379F" w:rsidP="007B41E2">
      <w:pPr>
        <w:pStyle w:val="ListParagraph"/>
        <w:numPr>
          <w:ilvl w:val="0"/>
          <w:numId w:val="31"/>
        </w:numPr>
        <w:spacing w:after="120"/>
        <w:contextualSpacing w:val="0"/>
        <w:rPr>
          <w:rFonts w:ascii="Arial" w:hAnsi="Arial" w:cs="Arial"/>
          <w:sz w:val="22"/>
          <w:szCs w:val="22"/>
        </w:rPr>
      </w:pPr>
      <w:r w:rsidRPr="00F90913">
        <w:rPr>
          <w:rFonts w:ascii="Arial" w:hAnsi="Arial" w:cs="Arial"/>
          <w:sz w:val="22"/>
          <w:szCs w:val="22"/>
        </w:rPr>
        <w:t>Consider additional withdrawal medication</w:t>
      </w:r>
    </w:p>
    <w:p w:rsidR="0006379F" w:rsidRPr="00F90913" w:rsidRDefault="0006379F" w:rsidP="007B41E2">
      <w:pPr>
        <w:pStyle w:val="ListParagraph"/>
        <w:numPr>
          <w:ilvl w:val="0"/>
          <w:numId w:val="31"/>
        </w:numPr>
        <w:spacing w:after="120"/>
        <w:contextualSpacing w:val="0"/>
        <w:rPr>
          <w:rFonts w:ascii="Arial" w:hAnsi="Arial" w:cs="Arial"/>
          <w:sz w:val="22"/>
          <w:szCs w:val="22"/>
        </w:rPr>
      </w:pPr>
      <w:r w:rsidRPr="00F90913">
        <w:rPr>
          <w:rFonts w:ascii="Arial" w:hAnsi="Arial" w:cs="Arial"/>
          <w:sz w:val="22"/>
          <w:szCs w:val="22"/>
        </w:rPr>
        <w:t>Identify support person</w:t>
      </w:r>
    </w:p>
    <w:p w:rsidR="0006379F" w:rsidRPr="00F90913" w:rsidRDefault="0006379F" w:rsidP="007B41E2">
      <w:pPr>
        <w:pStyle w:val="ListParagraph"/>
        <w:numPr>
          <w:ilvl w:val="0"/>
          <w:numId w:val="31"/>
        </w:numPr>
        <w:spacing w:after="120"/>
        <w:contextualSpacing w:val="0"/>
        <w:rPr>
          <w:rFonts w:ascii="Arial" w:hAnsi="Arial" w:cs="Arial"/>
          <w:sz w:val="22"/>
          <w:szCs w:val="22"/>
        </w:rPr>
      </w:pPr>
      <w:r w:rsidRPr="00F90913">
        <w:rPr>
          <w:rFonts w:ascii="Arial" w:hAnsi="Arial" w:cs="Arial"/>
          <w:sz w:val="22"/>
          <w:szCs w:val="22"/>
        </w:rPr>
        <w:t>Map out a follow-up plan: Phone call on induction day and daily until clinic visit (approximately Day 7) can be done by provider, nurse, MA, etc. Determine who will make calls and be assigned to take patient’s calls.</w:t>
      </w:r>
    </w:p>
    <w:p w:rsidR="0006379F" w:rsidRPr="00F90913" w:rsidRDefault="0006379F" w:rsidP="007B41E2">
      <w:pPr>
        <w:pStyle w:val="ListParagraph"/>
        <w:numPr>
          <w:ilvl w:val="0"/>
          <w:numId w:val="31"/>
        </w:numPr>
        <w:spacing w:after="120"/>
        <w:contextualSpacing w:val="0"/>
        <w:rPr>
          <w:rFonts w:ascii="Arial" w:hAnsi="Arial" w:cs="Arial"/>
          <w:sz w:val="22"/>
          <w:szCs w:val="22"/>
        </w:rPr>
      </w:pPr>
      <w:r w:rsidRPr="00F90913">
        <w:rPr>
          <w:rFonts w:ascii="Arial" w:hAnsi="Arial" w:cs="Arial"/>
          <w:sz w:val="22"/>
          <w:szCs w:val="22"/>
        </w:rPr>
        <w:t>Schedule follow up visits (no less than weekly for first 4 weeks)</w:t>
      </w:r>
    </w:p>
    <w:p w:rsidR="0006379F" w:rsidRPr="00F90913" w:rsidRDefault="0006379F" w:rsidP="007B41E2">
      <w:pPr>
        <w:pStyle w:val="ListParagraph"/>
        <w:numPr>
          <w:ilvl w:val="0"/>
          <w:numId w:val="31"/>
        </w:numPr>
        <w:spacing w:after="120"/>
        <w:contextualSpacing w:val="0"/>
        <w:rPr>
          <w:rFonts w:ascii="Arial" w:hAnsi="Arial" w:cs="Arial"/>
          <w:sz w:val="22"/>
          <w:szCs w:val="22"/>
        </w:rPr>
      </w:pPr>
      <w:r w:rsidRPr="00F90913">
        <w:rPr>
          <w:rFonts w:ascii="Arial" w:hAnsi="Arial" w:cs="Arial"/>
          <w:sz w:val="22"/>
          <w:szCs w:val="22"/>
        </w:rPr>
        <w:t>Discuss goals and motivations</w:t>
      </w:r>
    </w:p>
    <w:p w:rsidR="00A87278" w:rsidRPr="00F90913" w:rsidRDefault="00A87278" w:rsidP="00F8448D">
      <w:pPr>
        <w:spacing w:after="200" w:line="276" w:lineRule="auto"/>
        <w:rPr>
          <w:rFonts w:ascii="Arial" w:hAnsi="Arial" w:cs="Arial"/>
          <w:sz w:val="22"/>
          <w:szCs w:val="22"/>
        </w:rPr>
      </w:pPr>
    </w:p>
    <w:p w:rsidR="00A87278" w:rsidRDefault="00A87278" w:rsidP="00F8448D">
      <w:pPr>
        <w:spacing w:after="200" w:line="276" w:lineRule="auto"/>
        <w:rPr>
          <w:rFonts w:ascii="Arial" w:hAnsi="Arial" w:cs="Arial"/>
          <w:sz w:val="22"/>
          <w:szCs w:val="22"/>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bookmarkStart w:id="0" w:name="_GoBack"/>
      <w:bookmarkEnd w:id="0"/>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623DFD" w:rsidRDefault="00623DFD" w:rsidP="00623DFD">
      <w:pPr>
        <w:pStyle w:val="ListNumber"/>
        <w:spacing w:after="0"/>
        <w:rPr>
          <w:rFonts w:ascii="Arial" w:hAnsi="Arial" w:cs="Arial"/>
          <w:sz w:val="16"/>
          <w:szCs w:val="16"/>
        </w:rPr>
      </w:pPr>
    </w:p>
    <w:p w:rsidR="004D2EB1" w:rsidRDefault="004D2EB1" w:rsidP="00623DFD">
      <w:pPr>
        <w:pStyle w:val="ListNumber"/>
        <w:spacing w:after="0"/>
        <w:rPr>
          <w:rFonts w:ascii="Arial" w:hAnsi="Arial" w:cs="Arial"/>
          <w:sz w:val="16"/>
          <w:szCs w:val="16"/>
        </w:rPr>
      </w:pPr>
    </w:p>
    <w:p w:rsidR="00F8448D" w:rsidRPr="00623DFD" w:rsidRDefault="00623DFD" w:rsidP="00623DFD">
      <w:pPr>
        <w:pStyle w:val="ListNumber"/>
        <w:spacing w:after="0"/>
        <w:rPr>
          <w:rFonts w:ascii="Arial" w:hAnsi="Arial" w:cs="Arial"/>
          <w:i/>
          <w:sz w:val="16"/>
          <w:szCs w:val="16"/>
        </w:rPr>
      </w:pPr>
      <w:r>
        <w:rPr>
          <w:rFonts w:ascii="Arial" w:hAnsi="Arial" w:cs="Arial"/>
          <w:sz w:val="16"/>
          <w:szCs w:val="16"/>
        </w:rPr>
        <w:t xml:space="preserve">Developed by </w:t>
      </w:r>
      <w:proofErr w:type="gramStart"/>
      <w:r>
        <w:rPr>
          <w:rFonts w:ascii="Arial" w:hAnsi="Arial" w:cs="Arial"/>
          <w:sz w:val="16"/>
          <w:szCs w:val="16"/>
        </w:rPr>
        <w:t>IT</w:t>
      </w:r>
      <w:proofErr w:type="gramEnd"/>
      <w:r>
        <w:rPr>
          <w:rFonts w:ascii="Arial" w:hAnsi="Arial" w:cs="Arial"/>
          <w:sz w:val="16"/>
          <w:szCs w:val="16"/>
        </w:rPr>
        <w:t xml:space="preserve"> MATTTRs™ Feb 2019.  F</w:t>
      </w:r>
      <w:r w:rsidR="00A87278" w:rsidRPr="00623DFD">
        <w:rPr>
          <w:rFonts w:ascii="Arial" w:hAnsi="Arial" w:cs="Arial"/>
          <w:sz w:val="16"/>
          <w:szCs w:val="16"/>
        </w:rPr>
        <w:t xml:space="preserve">or use outside of IT MATTTRs Colorado, please contact </w:t>
      </w:r>
      <w:hyperlink r:id="rId9" w:history="1">
        <w:r w:rsidR="00A87278" w:rsidRPr="00623DFD">
          <w:rPr>
            <w:rStyle w:val="Hyperlink"/>
            <w:rFonts w:ascii="Arial" w:hAnsi="Arial" w:cs="Arial"/>
            <w:sz w:val="16"/>
            <w:szCs w:val="16"/>
          </w:rPr>
          <w:t>ITMATTTRsColorado@ucdenver.edu</w:t>
        </w:r>
      </w:hyperlink>
    </w:p>
    <w:sectPr w:rsidR="00F8448D" w:rsidRPr="00623DFD" w:rsidSect="00623DFD">
      <w:footerReference w:type="default" r:id="rId1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15" w:rsidRDefault="00797215">
      <w:r>
        <w:separator/>
      </w:r>
    </w:p>
  </w:endnote>
  <w:endnote w:type="continuationSeparator" w:id="0">
    <w:p w:rsidR="00797215" w:rsidRDefault="0079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EB Garamon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A4" w:rsidRDefault="005C3CA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15" w:rsidRDefault="00797215">
      <w:r>
        <w:separator/>
      </w:r>
    </w:p>
  </w:footnote>
  <w:footnote w:type="continuationSeparator" w:id="0">
    <w:p w:rsidR="00797215" w:rsidRDefault="00797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EEF830C4"/>
    <w:lvl w:ilvl="0">
      <w:start w:val="1"/>
      <w:numFmt w:val="decimal"/>
      <w:lvlText w:val="%1."/>
      <w:lvlJc w:val="left"/>
      <w:pPr>
        <w:ind w:left="72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C764D"/>
    <w:multiLevelType w:val="hybridMultilevel"/>
    <w:tmpl w:val="39D06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4E03"/>
    <w:multiLevelType w:val="hybridMultilevel"/>
    <w:tmpl w:val="D8B40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D6ACF"/>
    <w:multiLevelType w:val="hybridMultilevel"/>
    <w:tmpl w:val="A200686A"/>
    <w:lvl w:ilvl="0" w:tplc="306A99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452A9"/>
    <w:multiLevelType w:val="hybridMultilevel"/>
    <w:tmpl w:val="E048B4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86DE2"/>
    <w:multiLevelType w:val="hybridMultilevel"/>
    <w:tmpl w:val="6E342C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22DFB"/>
    <w:multiLevelType w:val="hybridMultilevel"/>
    <w:tmpl w:val="56FC75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C41D47"/>
    <w:multiLevelType w:val="hybridMultilevel"/>
    <w:tmpl w:val="E5E07ECC"/>
    <w:lvl w:ilvl="0" w:tplc="503EDBEA">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754B3B"/>
    <w:multiLevelType w:val="hybridMultilevel"/>
    <w:tmpl w:val="760C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32E09"/>
    <w:multiLevelType w:val="hybridMultilevel"/>
    <w:tmpl w:val="D7E067A0"/>
    <w:lvl w:ilvl="0" w:tplc="306A99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6369D7"/>
    <w:multiLevelType w:val="hybridMultilevel"/>
    <w:tmpl w:val="5D946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673261"/>
    <w:multiLevelType w:val="hybridMultilevel"/>
    <w:tmpl w:val="14BE1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C791D"/>
    <w:multiLevelType w:val="hybridMultilevel"/>
    <w:tmpl w:val="1DD61A5A"/>
    <w:lvl w:ilvl="0" w:tplc="306A99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A91522"/>
    <w:multiLevelType w:val="hybridMultilevel"/>
    <w:tmpl w:val="E7F2C220"/>
    <w:lvl w:ilvl="0" w:tplc="34B0BD9C">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695CBE"/>
    <w:multiLevelType w:val="hybridMultilevel"/>
    <w:tmpl w:val="6AACDA04"/>
    <w:lvl w:ilvl="0" w:tplc="306A991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54771E"/>
    <w:multiLevelType w:val="hybridMultilevel"/>
    <w:tmpl w:val="F678E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018F5"/>
    <w:multiLevelType w:val="hybridMultilevel"/>
    <w:tmpl w:val="E3944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12456"/>
    <w:multiLevelType w:val="hybridMultilevel"/>
    <w:tmpl w:val="65027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9411C2"/>
    <w:multiLevelType w:val="hybridMultilevel"/>
    <w:tmpl w:val="0A4440E8"/>
    <w:lvl w:ilvl="0" w:tplc="34B0BD9C">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34B0BD9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433973"/>
    <w:multiLevelType w:val="multilevel"/>
    <w:tmpl w:val="3F24C7E4"/>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A741F5"/>
    <w:multiLevelType w:val="hybridMultilevel"/>
    <w:tmpl w:val="4DEE149E"/>
    <w:lvl w:ilvl="0" w:tplc="306A99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567297"/>
    <w:multiLevelType w:val="hybridMultilevel"/>
    <w:tmpl w:val="18D6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036300"/>
    <w:multiLevelType w:val="hybridMultilevel"/>
    <w:tmpl w:val="9DA2BEB6"/>
    <w:lvl w:ilvl="0" w:tplc="306A991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F26F34"/>
    <w:multiLevelType w:val="hybridMultilevel"/>
    <w:tmpl w:val="4C68B0B0"/>
    <w:lvl w:ilvl="0" w:tplc="306A991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2764F8"/>
    <w:multiLevelType w:val="hybridMultilevel"/>
    <w:tmpl w:val="83585E4E"/>
    <w:lvl w:ilvl="0" w:tplc="306A99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0"/>
    <w:lvlOverride w:ilvl="0">
      <w:startOverride w:val="1"/>
    </w:lvlOverride>
  </w:num>
  <w:num w:numId="6">
    <w:abstractNumId w:val="0"/>
  </w:num>
  <w:num w:numId="7">
    <w:abstractNumId w:val="21"/>
  </w:num>
  <w:num w:numId="8">
    <w:abstractNumId w:val="12"/>
  </w:num>
  <w:num w:numId="9">
    <w:abstractNumId w:val="8"/>
  </w:num>
  <w:num w:numId="10">
    <w:abstractNumId w:val="0"/>
  </w:num>
  <w:num w:numId="11">
    <w:abstractNumId w:val="0"/>
    <w:lvlOverride w:ilvl="0">
      <w:startOverride w:val="1"/>
    </w:lvlOverride>
  </w:num>
  <w:num w:numId="12">
    <w:abstractNumId w:val="23"/>
  </w:num>
  <w:num w:numId="13">
    <w:abstractNumId w:val="9"/>
  </w:num>
  <w:num w:numId="14">
    <w:abstractNumId w:val="17"/>
  </w:num>
  <w:num w:numId="15">
    <w:abstractNumId w:val="13"/>
  </w:num>
  <w:num w:numId="16">
    <w:abstractNumId w:val="3"/>
  </w:num>
  <w:num w:numId="17">
    <w:abstractNumId w:val="18"/>
  </w:num>
  <w:num w:numId="18">
    <w:abstractNumId w:val="10"/>
  </w:num>
  <w:num w:numId="19">
    <w:abstractNumId w:val="2"/>
  </w:num>
  <w:num w:numId="20">
    <w:abstractNumId w:val="20"/>
  </w:num>
  <w:num w:numId="21">
    <w:abstractNumId w:val="11"/>
  </w:num>
  <w:num w:numId="22">
    <w:abstractNumId w:val="4"/>
  </w:num>
  <w:num w:numId="23">
    <w:abstractNumId w:val="15"/>
  </w:num>
  <w:num w:numId="24">
    <w:abstractNumId w:val="25"/>
  </w:num>
  <w:num w:numId="25">
    <w:abstractNumId w:val="6"/>
  </w:num>
  <w:num w:numId="26">
    <w:abstractNumId w:val="16"/>
  </w:num>
  <w:num w:numId="27">
    <w:abstractNumId w:val="24"/>
  </w:num>
  <w:num w:numId="28">
    <w:abstractNumId w:val="14"/>
  </w:num>
  <w:num w:numId="29">
    <w:abstractNumId w:val="22"/>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15"/>
    <w:rsid w:val="0006379F"/>
    <w:rsid w:val="001C32F6"/>
    <w:rsid w:val="00266C60"/>
    <w:rsid w:val="004C5D39"/>
    <w:rsid w:val="004D2EB1"/>
    <w:rsid w:val="00540387"/>
    <w:rsid w:val="005C3CA4"/>
    <w:rsid w:val="005F16F8"/>
    <w:rsid w:val="00623DFD"/>
    <w:rsid w:val="00683DB3"/>
    <w:rsid w:val="00797215"/>
    <w:rsid w:val="007B326C"/>
    <w:rsid w:val="007B41E2"/>
    <w:rsid w:val="008507F3"/>
    <w:rsid w:val="008600F0"/>
    <w:rsid w:val="008A077D"/>
    <w:rsid w:val="008D0287"/>
    <w:rsid w:val="008F28F5"/>
    <w:rsid w:val="009A5793"/>
    <w:rsid w:val="009C484B"/>
    <w:rsid w:val="00A87278"/>
    <w:rsid w:val="00B854FB"/>
    <w:rsid w:val="00BA5BAD"/>
    <w:rsid w:val="00BA7F2C"/>
    <w:rsid w:val="00CC010F"/>
    <w:rsid w:val="00D37307"/>
    <w:rsid w:val="00DC6F52"/>
    <w:rsid w:val="00E12720"/>
    <w:rsid w:val="00EC217F"/>
    <w:rsid w:val="00F20A25"/>
    <w:rsid w:val="00F45C5E"/>
    <w:rsid w:val="00F8448D"/>
    <w:rsid w:val="00F9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9CB1984-FD10-40CE-B5CF-08F3CD38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CommentReference">
    <w:name w:val="annotation reference"/>
    <w:basedOn w:val="DefaultParagraphFont"/>
    <w:semiHidden/>
    <w:rsid w:val="00797215"/>
    <w:rPr>
      <w:sz w:val="16"/>
      <w:szCs w:val="16"/>
    </w:rPr>
  </w:style>
  <w:style w:type="paragraph" w:styleId="CommentText">
    <w:name w:val="annotation text"/>
    <w:basedOn w:val="Normal"/>
    <w:link w:val="CommentTextChar"/>
    <w:semiHidden/>
    <w:rsid w:val="00797215"/>
    <w:pPr>
      <w:spacing w:after="200" w:line="276" w:lineRule="auto"/>
    </w:pPr>
    <w:rPr>
      <w:rFonts w:ascii="Calibri" w:eastAsia="Calibri" w:hAnsi="Calibri" w:cs="Times New Roman"/>
      <w:lang w:eastAsia="en-US"/>
    </w:rPr>
  </w:style>
  <w:style w:type="character" w:customStyle="1" w:styleId="CommentTextChar">
    <w:name w:val="Comment Text Char"/>
    <w:basedOn w:val="DefaultParagraphFont"/>
    <w:link w:val="CommentText"/>
    <w:semiHidden/>
    <w:rsid w:val="00797215"/>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97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15"/>
    <w:rPr>
      <w:rFonts w:ascii="Segoe UI" w:hAnsi="Segoe UI" w:cs="Segoe UI"/>
      <w:sz w:val="18"/>
      <w:szCs w:val="18"/>
    </w:rPr>
  </w:style>
  <w:style w:type="paragraph" w:styleId="ListParagraph">
    <w:name w:val="List Paragraph"/>
    <w:basedOn w:val="Normal"/>
    <w:uiPriority w:val="34"/>
    <w:unhideWhenUsed/>
    <w:qFormat/>
    <w:rsid w:val="00F20A25"/>
    <w:pPr>
      <w:ind w:left="720"/>
      <w:contextualSpacing/>
    </w:pPr>
  </w:style>
  <w:style w:type="table" w:styleId="TableGrid">
    <w:name w:val="Table Grid"/>
    <w:basedOn w:val="TableNormal"/>
    <w:uiPriority w:val="39"/>
    <w:rsid w:val="00F8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44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A87278"/>
    <w:rPr>
      <w:color w:val="0563C1"/>
      <w:u w:val="single"/>
    </w:rPr>
  </w:style>
  <w:style w:type="paragraph" w:styleId="NormalWeb">
    <w:name w:val="Normal (Web)"/>
    <w:basedOn w:val="Normal"/>
    <w:uiPriority w:val="99"/>
    <w:unhideWhenUsed/>
    <w:rsid w:val="00266C60"/>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7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MATTTRsColorado@ucdenve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cijak\AppData\Roaming\Microsoft\Templates\Employee%20referral%20form.dotx" TargetMode="External"/></Relationship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81B3-878B-44CB-BE04-6582BFC5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Curcija, Kristen</dc:creator>
  <cp:keywords/>
  <dc:description/>
  <cp:lastModifiedBy>Curcija, Kristen</cp:lastModifiedBy>
  <cp:revision>3</cp:revision>
  <cp:lastPrinted>2017-05-02T16:20:00Z</cp:lastPrinted>
  <dcterms:created xsi:type="dcterms:W3CDTF">2019-02-12T22:20:00Z</dcterms:created>
  <dcterms:modified xsi:type="dcterms:W3CDTF">2019-02-12T23:23:00Z</dcterms:modified>
</cp:coreProperties>
</file>