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C26A3" w14:textId="77777777" w:rsidR="00186155" w:rsidRDefault="000931FF">
      <w:pPr>
        <w:pStyle w:val="BodyA"/>
        <w:rPr>
          <w:sz w:val="12"/>
          <w:szCs w:val="12"/>
        </w:rPr>
      </w:pPr>
      <w:r>
        <w:rPr>
          <w:noProof/>
        </w:rPr>
        <w:drawing>
          <wp:inline distT="0" distB="0" distL="0" distR="0" wp14:anchorId="5468405B" wp14:editId="3E79CC09">
            <wp:extent cx="2171696" cy="9239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9">
                      <a:extLst/>
                    </a:blip>
                    <a:srcRect b="14912"/>
                    <a:stretch>
                      <a:fillRect/>
                    </a:stretch>
                  </pic:blipFill>
                  <pic:spPr>
                    <a:xfrm>
                      <a:off x="0" y="0"/>
                      <a:ext cx="2171696" cy="923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4326F6" w14:textId="77777777" w:rsidR="00857DC8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eastAsia="Times New Roman"/>
          <w:b/>
          <w:bCs/>
          <w:iCs/>
          <w:sz w:val="28"/>
          <w:szCs w:val="28"/>
          <w:bdr w:val="none" w:sz="0" w:space="0" w:color="auto"/>
        </w:rPr>
      </w:pPr>
    </w:p>
    <w:p w14:paraId="0B3A8D01" w14:textId="77777777" w:rsidR="00857DC8" w:rsidRPr="00857DC8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eastAsia="Times New Roman"/>
          <w:b/>
          <w:bCs/>
          <w:iCs/>
          <w:sz w:val="28"/>
          <w:szCs w:val="28"/>
          <w:bdr w:val="none" w:sz="0" w:space="0" w:color="auto"/>
        </w:rPr>
      </w:pPr>
      <w:r w:rsidRPr="00857DC8">
        <w:rPr>
          <w:rFonts w:eastAsia="Times New Roman"/>
          <w:b/>
          <w:bCs/>
          <w:iCs/>
          <w:sz w:val="28"/>
          <w:szCs w:val="28"/>
          <w:bdr w:val="none" w:sz="0" w:space="0" w:color="auto"/>
        </w:rPr>
        <w:t>Opioid Misuse &amp; Overdose: A Public Health Crisis in the U.S.</w:t>
      </w:r>
    </w:p>
    <w:p w14:paraId="1904F818" w14:textId="77777777" w:rsidR="007726EC" w:rsidRDefault="007726EC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/>
          <w:sz w:val="22"/>
          <w:szCs w:val="22"/>
          <w:bdr w:val="none" w:sz="0" w:space="0" w:color="auto"/>
        </w:rPr>
      </w:pPr>
    </w:p>
    <w:p w14:paraId="1345491E" w14:textId="4F6092A0" w:rsidR="00857DC8" w:rsidRPr="00857DC8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Opioids are a class of drugs that include heroin</w:t>
      </w:r>
      <w:r w:rsidR="003074D9">
        <w:rPr>
          <w:rFonts w:eastAsia="Calibri"/>
          <w:sz w:val="22"/>
          <w:szCs w:val="22"/>
          <w:bdr w:val="none" w:sz="0" w:space="0" w:color="auto"/>
        </w:rPr>
        <w:t>,</w:t>
      </w:r>
      <w:r w:rsidRPr="00857DC8">
        <w:rPr>
          <w:rFonts w:eastAsia="Calibri"/>
          <w:sz w:val="22"/>
          <w:szCs w:val="22"/>
          <w:bdr w:val="none" w:sz="0" w:space="0" w:color="auto"/>
        </w:rPr>
        <w:t xml:space="preserve"> as well as prescription pain relievers oxycodone, hydrocodone, codeine, morphine, fentanyl and others. Rates of opioid misuse and overdose in the United States are rising </w:t>
      </w:r>
      <w:r w:rsidR="00DC207F">
        <w:rPr>
          <w:rFonts w:eastAsia="Calibri"/>
          <w:sz w:val="22"/>
          <w:szCs w:val="22"/>
          <w:bdr w:val="none" w:sz="0" w:space="0" w:color="auto"/>
        </w:rPr>
        <w:t>rapidly</w:t>
      </w:r>
      <w:r w:rsidRPr="00857DC8">
        <w:rPr>
          <w:rFonts w:eastAsia="Calibri"/>
          <w:sz w:val="22"/>
          <w:szCs w:val="22"/>
          <w:bdr w:val="none" w:sz="0" w:space="0" w:color="auto"/>
        </w:rPr>
        <w:t>, despite increased awareness and current interventions.</w:t>
      </w:r>
    </w:p>
    <w:p w14:paraId="6412D2B9" w14:textId="77777777" w:rsidR="00857DC8" w:rsidRPr="00857DC8" w:rsidRDefault="00857DC8" w:rsidP="007726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More than 10 million Americans reported using prescription opioids for nonmedical purposes in 2014.</w:t>
      </w:r>
      <w:r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1"/>
      </w:r>
    </w:p>
    <w:p w14:paraId="412AE058" w14:textId="77777777" w:rsidR="00857DC8" w:rsidRPr="00857DC8" w:rsidRDefault="00857DC8" w:rsidP="007726E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467,000 adolescents were current nonmedical users of pain relievers, with 168,000 having an addiction to prescription pain relievers (as of 2014).</w:t>
      </w:r>
      <w:r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2"/>
      </w:r>
    </w:p>
    <w:p w14:paraId="24ED6158" w14:textId="0A56B9DD" w:rsidR="00857DC8" w:rsidRPr="00857DC8" w:rsidRDefault="00857DC8" w:rsidP="007726E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Women are more likely to have chronic pain, be prescribed pain relievers, be given higher doses, and use them for longer time periods than men.</w:t>
      </w:r>
      <w:r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3"/>
      </w:r>
    </w:p>
    <w:p w14:paraId="41BC2A7C" w14:textId="77777777" w:rsidR="00857DC8" w:rsidRPr="00857DC8" w:rsidRDefault="00857DC8" w:rsidP="007726E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More than half of Americans (56 percent) say that they or someone they know has misused, been addicted to, or died from prescription pain medications.</w:t>
      </w:r>
      <w:r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4"/>
      </w:r>
    </w:p>
    <w:p w14:paraId="6AB6B5C1" w14:textId="77777777" w:rsidR="00857DC8" w:rsidRPr="00857DC8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</w:p>
    <w:p w14:paraId="7E679DBA" w14:textId="77777777" w:rsidR="00857DC8" w:rsidRPr="00857DC8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Addiction is a chronic disease that too often goes untreated. When patients can’t access treatment and recovery support services, addiction can lead to disability or premature death.</w:t>
      </w:r>
    </w:p>
    <w:p w14:paraId="681AE8FF" w14:textId="77777777" w:rsidR="00857DC8" w:rsidRPr="00857DC8" w:rsidRDefault="00857DC8" w:rsidP="007726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Emergency room visits linked to misuse of prescription opioids are up by more than 50 percent since 2004.</w:t>
      </w:r>
      <w:r w:rsidR="000B66B0">
        <w:rPr>
          <w:rStyle w:val="EndnoteReference"/>
          <w:rFonts w:eastAsia="Calibri"/>
          <w:sz w:val="22"/>
          <w:szCs w:val="22"/>
          <w:bdr w:val="none" w:sz="0" w:space="0" w:color="auto"/>
        </w:rPr>
        <w:endnoteReference w:id="5"/>
      </w:r>
    </w:p>
    <w:p w14:paraId="6B69655C" w14:textId="77777777" w:rsidR="00857DC8" w:rsidRPr="00857DC8" w:rsidRDefault="00857DC8" w:rsidP="007726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An average of 129 Americans die each day from drug overdose, and more than half of deaths are from prescription drugs.</w:t>
      </w:r>
      <w:r w:rsidR="009326DE">
        <w:rPr>
          <w:rStyle w:val="EndnoteReference"/>
          <w:rFonts w:eastAsia="Calibri"/>
          <w:sz w:val="22"/>
          <w:szCs w:val="22"/>
          <w:bdr w:val="none" w:sz="0" w:space="0" w:color="auto"/>
        </w:rPr>
        <w:endnoteReference w:id="6"/>
      </w:r>
    </w:p>
    <w:p w14:paraId="45627BC0" w14:textId="76DAAAD8" w:rsidR="00857DC8" w:rsidRPr="00857DC8" w:rsidRDefault="00857DC8" w:rsidP="007726E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The rate of death from opioid-related overdose has quadrupled since 2000</w:t>
      </w:r>
      <w:r w:rsidR="00C20C81">
        <w:rPr>
          <w:rFonts w:eastAsia="Calibri"/>
          <w:sz w:val="22"/>
          <w:szCs w:val="22"/>
          <w:bdr w:val="none" w:sz="0" w:space="0" w:color="auto"/>
        </w:rPr>
        <w:t>.</w:t>
      </w:r>
      <w:r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7"/>
      </w:r>
    </w:p>
    <w:p w14:paraId="6E323C01" w14:textId="77777777" w:rsidR="00857DC8" w:rsidRPr="00857DC8" w:rsidRDefault="00857DC8" w:rsidP="007726E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Opioids were involved in 28,647 deaths in 2014.</w:t>
      </w:r>
      <w:r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8"/>
      </w:r>
    </w:p>
    <w:p w14:paraId="1834E89A" w14:textId="7208A973" w:rsidR="00857DC8" w:rsidRPr="00857DC8" w:rsidRDefault="00857DC8" w:rsidP="007726E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 xml:space="preserve">Prescription pain reliever overdose deaths among women increased more than 400 percent from 1999 to 2010, compared to </w:t>
      </w:r>
      <w:r w:rsidR="00C20C81">
        <w:rPr>
          <w:rFonts w:eastAsia="Calibri"/>
          <w:sz w:val="22"/>
          <w:szCs w:val="22"/>
          <w:bdr w:val="none" w:sz="0" w:space="0" w:color="auto"/>
        </w:rPr>
        <w:t xml:space="preserve">a </w:t>
      </w:r>
      <w:r w:rsidRPr="00857DC8">
        <w:rPr>
          <w:rFonts w:eastAsia="Calibri"/>
          <w:sz w:val="22"/>
          <w:szCs w:val="22"/>
          <w:bdr w:val="none" w:sz="0" w:space="0" w:color="auto"/>
        </w:rPr>
        <w:t xml:space="preserve">237 percent </w:t>
      </w:r>
      <w:r w:rsidR="00C20C81">
        <w:rPr>
          <w:rFonts w:eastAsia="Calibri"/>
          <w:sz w:val="22"/>
          <w:szCs w:val="22"/>
          <w:bdr w:val="none" w:sz="0" w:space="0" w:color="auto"/>
        </w:rPr>
        <w:t xml:space="preserve">increase </w:t>
      </w:r>
      <w:r w:rsidRPr="00857DC8">
        <w:rPr>
          <w:rFonts w:eastAsia="Calibri"/>
          <w:sz w:val="22"/>
          <w:szCs w:val="22"/>
          <w:bdr w:val="none" w:sz="0" w:space="0" w:color="auto"/>
        </w:rPr>
        <w:t>among men.</w:t>
      </w:r>
      <w:r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9"/>
      </w:r>
    </w:p>
    <w:p w14:paraId="40CC27B3" w14:textId="77777777" w:rsidR="00857DC8" w:rsidRPr="00857DC8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</w:p>
    <w:p w14:paraId="5560BED8" w14:textId="77777777" w:rsidR="007726EC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  <w:sectPr w:rsidR="007726EC" w:rsidSect="00857DC8">
          <w:headerReference w:type="default" r:id="rId10"/>
          <w:footerReference w:type="default" r:id="rId11"/>
          <w:pgSz w:w="12240" w:h="15840"/>
          <w:pgMar w:top="720" w:right="720" w:bottom="720" w:left="720" w:header="720" w:footer="864" w:gutter="0"/>
          <w:cols w:space="720"/>
        </w:sectPr>
      </w:pPr>
      <w:r w:rsidRPr="00857DC8">
        <w:rPr>
          <w:rFonts w:eastAsia="Calibri"/>
          <w:sz w:val="22"/>
          <w:szCs w:val="22"/>
          <w:bdr w:val="none" w:sz="0" w:space="0" w:color="auto"/>
        </w:rPr>
        <w:t xml:space="preserve">While the opioid epidemic impacts the nation as a whole, some states are harder hit. </w:t>
      </w:r>
      <w:r w:rsidR="00DC207F">
        <w:rPr>
          <w:rFonts w:eastAsia="Calibri"/>
          <w:sz w:val="22"/>
          <w:szCs w:val="22"/>
          <w:bdr w:val="none" w:sz="0" w:space="0" w:color="auto"/>
        </w:rPr>
        <w:t>In 2014, t</w:t>
      </w:r>
      <w:r w:rsidRPr="00857DC8">
        <w:rPr>
          <w:rFonts w:eastAsia="Calibri"/>
          <w:sz w:val="22"/>
          <w:szCs w:val="22"/>
          <w:bdr w:val="none" w:sz="0" w:space="0" w:color="auto"/>
        </w:rPr>
        <w:t xml:space="preserve">he five states with the highest rates of death due to drug overdose </w:t>
      </w:r>
      <w:r w:rsidR="00DC207F">
        <w:rPr>
          <w:rFonts w:eastAsia="Calibri"/>
          <w:sz w:val="22"/>
          <w:szCs w:val="22"/>
          <w:bdr w:val="none" w:sz="0" w:space="0" w:color="auto"/>
        </w:rPr>
        <w:t>were</w:t>
      </w:r>
      <w:r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10"/>
      </w:r>
      <w:r w:rsidRPr="00857DC8">
        <w:rPr>
          <w:rFonts w:eastAsia="Calibri"/>
          <w:sz w:val="22"/>
          <w:szCs w:val="22"/>
          <w:bdr w:val="none" w:sz="0" w:space="0" w:color="auto"/>
        </w:rPr>
        <w:t>:</w:t>
      </w:r>
    </w:p>
    <w:p w14:paraId="731BCA00" w14:textId="0D1ABA10" w:rsidR="00857DC8" w:rsidRPr="00857DC8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</w:p>
    <w:p w14:paraId="79667F6B" w14:textId="77777777" w:rsidR="007726EC" w:rsidRDefault="007726EC" w:rsidP="007726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  <w:sectPr w:rsidR="007726EC" w:rsidSect="007726EC">
          <w:type w:val="continuous"/>
          <w:pgSz w:w="12240" w:h="15840"/>
          <w:pgMar w:top="720" w:right="720" w:bottom="720" w:left="720" w:header="720" w:footer="864" w:gutter="0"/>
          <w:cols w:space="720"/>
        </w:sectPr>
      </w:pPr>
    </w:p>
    <w:p w14:paraId="0C216940" w14:textId="09AE28F9" w:rsidR="00857DC8" w:rsidRPr="00857DC8" w:rsidRDefault="00857DC8" w:rsidP="007726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lastRenderedPageBreak/>
        <w:t>West Virginia</w:t>
      </w:r>
    </w:p>
    <w:p w14:paraId="78CF6A7A" w14:textId="77777777" w:rsidR="00857DC8" w:rsidRPr="00857DC8" w:rsidRDefault="00857DC8" w:rsidP="007726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New Mexico</w:t>
      </w:r>
    </w:p>
    <w:p w14:paraId="4834CD4B" w14:textId="77777777" w:rsidR="00857DC8" w:rsidRPr="00857DC8" w:rsidRDefault="00857DC8" w:rsidP="007726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New Hampshire</w:t>
      </w:r>
    </w:p>
    <w:p w14:paraId="2CB4A391" w14:textId="77777777" w:rsidR="00857DC8" w:rsidRPr="00857DC8" w:rsidRDefault="00857DC8" w:rsidP="007726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lastRenderedPageBreak/>
        <w:t>Kentucky</w:t>
      </w:r>
    </w:p>
    <w:p w14:paraId="28F3CC0B" w14:textId="77777777" w:rsidR="00857DC8" w:rsidRPr="00857DC8" w:rsidRDefault="00857DC8" w:rsidP="007726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 w:rsidRPr="00857DC8">
        <w:rPr>
          <w:rFonts w:eastAsia="Calibri"/>
          <w:sz w:val="22"/>
          <w:szCs w:val="22"/>
          <w:bdr w:val="none" w:sz="0" w:space="0" w:color="auto"/>
        </w:rPr>
        <w:t>Ohio</w:t>
      </w:r>
    </w:p>
    <w:p w14:paraId="6930A170" w14:textId="77777777" w:rsidR="007726EC" w:rsidRDefault="007726EC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  <w:sectPr w:rsidR="007726EC" w:rsidSect="007726EC">
          <w:type w:val="continuous"/>
          <w:pgSz w:w="12240" w:h="15840"/>
          <w:pgMar w:top="720" w:right="720" w:bottom="720" w:left="720" w:header="720" w:footer="864" w:gutter="0"/>
          <w:cols w:num="2" w:space="720"/>
        </w:sectPr>
      </w:pPr>
    </w:p>
    <w:p w14:paraId="2BE777B9" w14:textId="7B8645CC" w:rsidR="00857DC8" w:rsidRPr="00857DC8" w:rsidRDefault="00857DC8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</w:p>
    <w:p w14:paraId="69E8B0BF" w14:textId="7E4CDE32" w:rsidR="00857DC8" w:rsidRPr="00857DC8" w:rsidRDefault="00DC207F" w:rsidP="0077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>T</w:t>
      </w:r>
      <w:r w:rsidR="00857DC8" w:rsidRPr="00857DC8">
        <w:rPr>
          <w:rFonts w:eastAsia="Calibri"/>
          <w:sz w:val="22"/>
          <w:szCs w:val="22"/>
          <w:bdr w:val="none" w:sz="0" w:space="0" w:color="auto"/>
        </w:rPr>
        <w:t xml:space="preserve">his problem continues to grow. Eight states saw a </w:t>
      </w:r>
      <w:r w:rsidR="003074D9">
        <w:rPr>
          <w:rFonts w:eastAsia="Calibri"/>
          <w:sz w:val="22"/>
          <w:szCs w:val="22"/>
          <w:bdr w:val="none" w:sz="0" w:space="0" w:color="auto"/>
        </w:rPr>
        <w:t>15</w:t>
      </w:r>
      <w:bookmarkStart w:id="0" w:name="_GoBack"/>
      <w:bookmarkEnd w:id="0"/>
      <w:r w:rsidR="00857DC8" w:rsidRPr="00857DC8">
        <w:rPr>
          <w:rFonts w:eastAsia="Calibri"/>
          <w:sz w:val="22"/>
          <w:szCs w:val="22"/>
          <w:bdr w:val="none" w:sz="0" w:space="0" w:color="auto"/>
        </w:rPr>
        <w:t xml:space="preserve"> percent or greater increase in the rate of deaths due to overdose from 2013 to 2014.</w:t>
      </w:r>
      <w:r w:rsidR="00857DC8" w:rsidRPr="00857DC8">
        <w:rPr>
          <w:rFonts w:eastAsia="Calibri"/>
          <w:sz w:val="22"/>
          <w:szCs w:val="22"/>
          <w:bdr w:val="none" w:sz="0" w:space="0" w:color="auto"/>
          <w:vertAlign w:val="superscript"/>
        </w:rPr>
        <w:endnoteReference w:id="11"/>
      </w:r>
    </w:p>
    <w:p w14:paraId="69F0C2A6" w14:textId="1F6691CC" w:rsidR="00857DC8" w:rsidRPr="00857DC8" w:rsidRDefault="007726EC" w:rsidP="00857D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sz w:val="22"/>
          <w:szCs w:val="22"/>
          <w:bdr w:val="none" w:sz="0" w:space="0" w:color="auto"/>
        </w:rPr>
      </w:pPr>
      <w:r>
        <w:rPr>
          <w:rFonts w:eastAsia="Calibri"/>
          <w:noProof/>
          <w:sz w:val="22"/>
          <w:szCs w:val="22"/>
          <w:bdr w:val="none" w:sz="0" w:space="0" w:color="auto"/>
        </w:rPr>
        <w:drawing>
          <wp:inline distT="0" distB="0" distL="0" distR="0" wp14:anchorId="78168108" wp14:editId="2DE00F4B">
            <wp:extent cx="6867525" cy="2114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857DC8" w:rsidDel="007726EC">
        <w:rPr>
          <w:rFonts w:eastAsia="Calibri"/>
          <w:sz w:val="22"/>
          <w:szCs w:val="22"/>
          <w:bdr w:val="none" w:sz="0" w:space="0" w:color="auto"/>
        </w:rPr>
        <w:t xml:space="preserve"> </w:t>
      </w:r>
    </w:p>
    <w:sectPr w:rsidR="00857DC8" w:rsidRPr="00857DC8" w:rsidSect="007726EC">
      <w:type w:val="continuous"/>
      <w:pgSz w:w="12240" w:h="15840"/>
      <w:pgMar w:top="720" w:right="720" w:bottom="720" w:left="720" w:header="720" w:footer="864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EF9E8" w15:done="0"/>
  <w15:commentEx w15:paraId="0E9618BE" w15:done="0"/>
  <w15:commentEx w15:paraId="2F3FF4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B86BB" w14:textId="77777777" w:rsidR="00AF1B2A" w:rsidRDefault="00AF1B2A">
      <w:r>
        <w:separator/>
      </w:r>
    </w:p>
  </w:endnote>
  <w:endnote w:type="continuationSeparator" w:id="0">
    <w:p w14:paraId="42DACE49" w14:textId="77777777" w:rsidR="00AF1B2A" w:rsidRDefault="00AF1B2A">
      <w:r>
        <w:continuationSeparator/>
      </w:r>
    </w:p>
  </w:endnote>
  <w:endnote w:id="1">
    <w:p w14:paraId="4D8A48F9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0060F">
        <w:t>Center for Behavioral Health Statistics and Quality. 2014 National Survey on Drug Use and Health: detailed tables. Rockville, MD: Substance Abuse and Mental Health Services Administration, 2015.</w:t>
      </w:r>
    </w:p>
  </w:endnote>
  <w:endnote w:id="2">
    <w:p w14:paraId="4D1E500C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Substance Abuse and Mental Health Services Administration, Center for Behavioral Health Statistics</w:t>
      </w:r>
    </w:p>
    <w:p w14:paraId="1EF1C32A" w14:textId="77777777" w:rsidR="00857DC8" w:rsidRDefault="00857DC8" w:rsidP="00857DC8">
      <w:pPr>
        <w:pStyle w:val="EndnoteText"/>
      </w:pPr>
      <w:r>
        <w:t>and Quality. (2015). Behavioral health trends in the United States: Results from the 2014 National Survey</w:t>
      </w:r>
    </w:p>
    <w:p w14:paraId="3BD8DDD4" w14:textId="77777777" w:rsidR="00857DC8" w:rsidRDefault="00857DC8" w:rsidP="00857DC8">
      <w:pPr>
        <w:pStyle w:val="EndnoteText"/>
      </w:pPr>
      <w:r>
        <w:t>on Drug Use and Health. Rockville, MD: Substance Abuse and Mental Health Services Administration.</w:t>
      </w:r>
    </w:p>
    <w:p w14:paraId="09C2D101" w14:textId="77777777" w:rsidR="00857DC8" w:rsidRDefault="00857DC8" w:rsidP="00857DC8">
      <w:pPr>
        <w:pStyle w:val="EndnoteText"/>
      </w:pPr>
      <w:r>
        <w:t xml:space="preserve">Available online at </w:t>
      </w:r>
      <w:hyperlink r:id="rId1" w:history="1">
        <w:r w:rsidRPr="0034366A">
          <w:rPr>
            <w:rStyle w:val="Hyperlink"/>
          </w:rPr>
          <w:t>http://www.samhsa.gov/data/sites/default/files/NSDUH-FRR1-2014/NSDUH-FRR1-2014.pdf</w:t>
        </w:r>
      </w:hyperlink>
      <w:r>
        <w:t xml:space="preserve">. </w:t>
      </w:r>
    </w:p>
  </w:endnote>
  <w:endnote w:id="3">
    <w:p w14:paraId="11D8D5AE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Substance Abuse and Mental Health Services Administration, Center for Behavioral Health Statistics</w:t>
      </w:r>
    </w:p>
    <w:p w14:paraId="468A1E2C" w14:textId="77777777" w:rsidR="00857DC8" w:rsidRDefault="00857DC8" w:rsidP="00857DC8">
      <w:pPr>
        <w:pStyle w:val="EndnoteText"/>
      </w:pPr>
      <w:r>
        <w:t>and Quality. (2015). Behavioral health trends in the United States: Results from the 2014 National Survey</w:t>
      </w:r>
    </w:p>
    <w:p w14:paraId="3BB44D09" w14:textId="77777777" w:rsidR="00857DC8" w:rsidRDefault="00857DC8" w:rsidP="00857DC8">
      <w:pPr>
        <w:pStyle w:val="EndnoteText"/>
      </w:pPr>
      <w:r>
        <w:t>on Drug Use and Health. Rockville, MD: Substance Abuse and Mental Health Services Administration.</w:t>
      </w:r>
    </w:p>
    <w:p w14:paraId="0EFC1DF3" w14:textId="77777777" w:rsidR="00857DC8" w:rsidRDefault="00857DC8" w:rsidP="00857DC8">
      <w:pPr>
        <w:pStyle w:val="EndnoteText"/>
      </w:pPr>
      <w:r>
        <w:t xml:space="preserve">Available online at </w:t>
      </w:r>
      <w:hyperlink r:id="rId2" w:history="1">
        <w:r w:rsidRPr="0034366A">
          <w:rPr>
            <w:rStyle w:val="Hyperlink"/>
          </w:rPr>
          <w:t>http://www.samhsa.gov/data/sites/default/files/NSDUH-FRR1-2014/NSDUH-FRR1-2014.pdf</w:t>
        </w:r>
      </w:hyperlink>
      <w:r>
        <w:t xml:space="preserve">. </w:t>
      </w:r>
    </w:p>
  </w:endnote>
  <w:endnote w:id="4">
    <w:p w14:paraId="7915B848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A6182">
        <w:t>Kaiser Health Tracking Poll: November 2015</w:t>
      </w:r>
      <w:r>
        <w:t xml:space="preserve">. Available online at: </w:t>
      </w:r>
      <w:hyperlink r:id="rId3" w:history="1">
        <w:r w:rsidRPr="0034366A">
          <w:rPr>
            <w:rStyle w:val="Hyperlink"/>
          </w:rPr>
          <w:t>http://kff.org/health-reform/poll-finding/kaiser-health-tracking-poll-november-2015/</w:t>
        </w:r>
      </w:hyperlink>
      <w:r>
        <w:t xml:space="preserve">. </w:t>
      </w:r>
    </w:p>
  </w:endnote>
  <w:endnote w:id="5">
    <w:p w14:paraId="514BAD86" w14:textId="77777777" w:rsidR="000B66B0" w:rsidRDefault="000B66B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B66B0">
        <w:t xml:space="preserve">Substance Abuse and Mental Health Services Administration. Highlights of the 2011 Drug Abuse Warning Network (DAWN) findings on drug-related emergency department visits. The DAWN Report. Rockville, MD: US Department of Health and Human Services, Substance Abuse and Mental Health Services Administration; 2013. Available from URL: </w:t>
      </w:r>
      <w:hyperlink r:id="rId4" w:history="1">
        <w:r w:rsidRPr="000277D5">
          <w:rPr>
            <w:rStyle w:val="Hyperlink"/>
          </w:rPr>
          <w:t>http://www.samhsa.gov/data/2k13/DAWN127/sr127-DAWN-highlights.htm</w:t>
        </w:r>
      </w:hyperlink>
      <w:r>
        <w:t xml:space="preserve"> </w:t>
      </w:r>
    </w:p>
  </w:endnote>
  <w:endnote w:id="6">
    <w:p w14:paraId="5F4CC1D3" w14:textId="77777777" w:rsidR="009326DE" w:rsidRDefault="009326D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326DE">
        <w:t xml:space="preserve">Increases in Drug and Opioid Overdose Deaths — United States, 2000–2014 </w:t>
      </w:r>
      <w:r>
        <w:t xml:space="preserve">Morbidity and Mortality </w:t>
      </w:r>
      <w:r w:rsidRPr="009326DE">
        <w:t>Weekly</w:t>
      </w:r>
      <w:r>
        <w:t xml:space="preserve"> Report</w:t>
      </w:r>
      <w:r w:rsidRPr="009326DE">
        <w:t xml:space="preserve"> January 1, 2016 / 64(50);1378-82 Rose A. Rudd, MSPH1; Noah </w:t>
      </w:r>
      <w:proofErr w:type="spellStart"/>
      <w:r w:rsidRPr="009326DE">
        <w:t>Aleshire</w:t>
      </w:r>
      <w:proofErr w:type="spellEnd"/>
      <w:r w:rsidRPr="009326DE">
        <w:t xml:space="preserve">, JD1; Jon E. </w:t>
      </w:r>
      <w:proofErr w:type="spellStart"/>
      <w:r w:rsidRPr="009326DE">
        <w:t>Zibbell</w:t>
      </w:r>
      <w:proofErr w:type="spellEnd"/>
      <w:r w:rsidRPr="009326DE">
        <w:t>, PhD1; R. Matthew Gladden, PhD1</w:t>
      </w:r>
    </w:p>
  </w:endnote>
  <w:endnote w:id="7">
    <w:p w14:paraId="1EB494D2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Centers for Disease Control and Prevention. </w:t>
      </w:r>
      <w:r w:rsidRPr="0020393D">
        <w:t>Prescription Opioid Overdose Data</w:t>
      </w:r>
      <w:r>
        <w:t xml:space="preserve">. Available online at: </w:t>
      </w:r>
      <w:hyperlink r:id="rId5" w:history="1">
        <w:r w:rsidRPr="0034366A">
          <w:rPr>
            <w:rStyle w:val="Hyperlink"/>
          </w:rPr>
          <w:t>http://www.cdc.gov/drugoverdose/data/overdose.html</w:t>
        </w:r>
      </w:hyperlink>
      <w:r>
        <w:t xml:space="preserve"> </w:t>
      </w:r>
    </w:p>
  </w:endnote>
  <w:endnote w:id="8">
    <w:p w14:paraId="10BDF59D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Centers for Disease Control and Prevention. Injury Prevention &amp; Control: Opioid Overdose. State Data. Available online at: </w:t>
      </w:r>
      <w:hyperlink r:id="rId6" w:history="1">
        <w:r w:rsidRPr="0034366A">
          <w:rPr>
            <w:rStyle w:val="Hyperlink"/>
          </w:rPr>
          <w:t>http://www.cdc.gov/drugoverdose/data/statedeaths.html</w:t>
        </w:r>
      </w:hyperlink>
      <w:r>
        <w:t xml:space="preserve">. </w:t>
      </w:r>
    </w:p>
  </w:endnote>
  <w:endnote w:id="9">
    <w:p w14:paraId="628439C9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Center for Disease Control and Prevention. (2013). Prescription Painkiller Overdoses: A Growing</w:t>
      </w:r>
    </w:p>
    <w:p w14:paraId="05A9C53D" w14:textId="77777777" w:rsidR="00857DC8" w:rsidRDefault="00857DC8" w:rsidP="00857DC8">
      <w:pPr>
        <w:pStyle w:val="EndnoteText"/>
      </w:pPr>
      <w:r>
        <w:t>Epidemic, Especially Among Women. Atlanta, GA: Centers for Disease Control and Prevention. Available online</w:t>
      </w:r>
    </w:p>
    <w:p w14:paraId="5D007A3E" w14:textId="77777777" w:rsidR="00857DC8" w:rsidRDefault="00857DC8" w:rsidP="00857DC8">
      <w:pPr>
        <w:pStyle w:val="EndnoteText"/>
      </w:pPr>
      <w:r>
        <w:t xml:space="preserve">at: </w:t>
      </w:r>
      <w:hyperlink r:id="rId7" w:history="1">
        <w:r w:rsidRPr="0034366A">
          <w:rPr>
            <w:rStyle w:val="Hyperlink"/>
          </w:rPr>
          <w:t>http://www.cdc.gov/vitalsigns/prescriptionpainkilleroverdoses/index.html</w:t>
        </w:r>
      </w:hyperlink>
      <w:r>
        <w:t xml:space="preserve">. </w:t>
      </w:r>
    </w:p>
  </w:endnote>
  <w:endnote w:id="10">
    <w:p w14:paraId="765E887E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Centers for Disease Control and Prevention. Injury Prevention &amp; Control: Opioid Overdose. State Data. Available online at: </w:t>
      </w:r>
      <w:hyperlink r:id="rId8" w:history="1">
        <w:r w:rsidRPr="0034366A">
          <w:rPr>
            <w:rStyle w:val="Hyperlink"/>
          </w:rPr>
          <w:t>http://www.cdc.gov/drugoverdose/data/statedeaths.html</w:t>
        </w:r>
      </w:hyperlink>
      <w:r>
        <w:t>.</w:t>
      </w:r>
    </w:p>
  </w:endnote>
  <w:endnote w:id="11">
    <w:p w14:paraId="23A7402A" w14:textId="77777777" w:rsidR="00857DC8" w:rsidRDefault="00857DC8" w:rsidP="00857DC8">
      <w:pPr>
        <w:pStyle w:val="EndnoteText"/>
      </w:pPr>
      <w:r>
        <w:rPr>
          <w:rStyle w:val="EndnoteReference"/>
        </w:rPr>
        <w:endnoteRef/>
      </w:r>
      <w:r>
        <w:t xml:space="preserve"> Centers for Disease Control and Prevention. Injury Prevention &amp; Control: Opioid Overdose. State Data. Available online at: </w:t>
      </w:r>
      <w:hyperlink r:id="rId9" w:history="1">
        <w:r w:rsidRPr="0034366A">
          <w:rPr>
            <w:rStyle w:val="Hyperlink"/>
          </w:rPr>
          <w:t>http://www.cdc.gov/drugoverdose/data/statedeaths.html</w:t>
        </w:r>
      </w:hyperlink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7BCCF" w14:textId="77777777" w:rsidR="00186155" w:rsidRDefault="0018615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374ED" w14:textId="77777777" w:rsidR="00AF1B2A" w:rsidRDefault="00AF1B2A">
      <w:r>
        <w:separator/>
      </w:r>
    </w:p>
  </w:footnote>
  <w:footnote w:type="continuationSeparator" w:id="0">
    <w:p w14:paraId="298DFBF6" w14:textId="77777777" w:rsidR="00AF1B2A" w:rsidRDefault="00AF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86A1" w14:textId="77777777" w:rsidR="00186155" w:rsidRDefault="0018615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88F"/>
    <w:multiLevelType w:val="hybridMultilevel"/>
    <w:tmpl w:val="EADE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86D6F"/>
    <w:multiLevelType w:val="hybridMultilevel"/>
    <w:tmpl w:val="E91C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12317"/>
    <w:multiLevelType w:val="hybridMultilevel"/>
    <w:tmpl w:val="BE36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 Awad">
    <w15:presenceInfo w15:providerId="AD" w15:userId="S-1-5-21-2025429265-308236825-725345543-10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55"/>
    <w:rsid w:val="000931FF"/>
    <w:rsid w:val="000B66B0"/>
    <w:rsid w:val="00186155"/>
    <w:rsid w:val="003074D9"/>
    <w:rsid w:val="005A633F"/>
    <w:rsid w:val="007726EC"/>
    <w:rsid w:val="00857DC8"/>
    <w:rsid w:val="009326DE"/>
    <w:rsid w:val="00AF1B2A"/>
    <w:rsid w:val="00C16B1B"/>
    <w:rsid w:val="00C20C81"/>
    <w:rsid w:val="00D2411A"/>
    <w:rsid w:val="00DC207F"/>
    <w:rsid w:val="00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F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F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7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7DC8"/>
    <w:rPr>
      <w:rFonts w:eastAsia="Times New Roman"/>
      <w:bdr w:val="none" w:sz="0" w:space="0" w:color="auto"/>
    </w:rPr>
  </w:style>
  <w:style w:type="character" w:styleId="EndnoteReference">
    <w:name w:val="endnote reference"/>
    <w:uiPriority w:val="99"/>
    <w:semiHidden/>
    <w:unhideWhenUsed/>
    <w:rsid w:val="00857DC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0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F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7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7DC8"/>
    <w:rPr>
      <w:rFonts w:eastAsia="Times New Roman"/>
      <w:bdr w:val="none" w:sz="0" w:space="0" w:color="auto"/>
    </w:rPr>
  </w:style>
  <w:style w:type="character" w:styleId="EndnoteReference">
    <w:name w:val="endnote reference"/>
    <w:uiPriority w:val="99"/>
    <w:semiHidden/>
    <w:unhideWhenUsed/>
    <w:rsid w:val="00857DC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drugoverdose/data/statedeaths.html" TargetMode="External"/><Relationship Id="rId3" Type="http://schemas.openxmlformats.org/officeDocument/2006/relationships/hyperlink" Target="http://kff.org/health-reform/poll-finding/kaiser-health-tracking-poll-november-2015/" TargetMode="External"/><Relationship Id="rId7" Type="http://schemas.openxmlformats.org/officeDocument/2006/relationships/hyperlink" Target="http://www.cdc.gov/vitalsigns/prescriptionpainkilleroverdoses/index.html" TargetMode="External"/><Relationship Id="rId2" Type="http://schemas.openxmlformats.org/officeDocument/2006/relationships/hyperlink" Target="http://www.samhsa.gov/data/sites/default/files/NSDUH-FRR1-2014/NSDUH-FRR1-2014.pdf" TargetMode="External"/><Relationship Id="rId1" Type="http://schemas.openxmlformats.org/officeDocument/2006/relationships/hyperlink" Target="http://www.samhsa.gov/data/sites/default/files/NSDUH-FRR1-2014/NSDUH-FRR1-2014.pdf" TargetMode="External"/><Relationship Id="rId6" Type="http://schemas.openxmlformats.org/officeDocument/2006/relationships/hyperlink" Target="http://www.cdc.gov/drugoverdose/data/statedeaths.html" TargetMode="External"/><Relationship Id="rId5" Type="http://schemas.openxmlformats.org/officeDocument/2006/relationships/hyperlink" Target="http://www.cdc.gov/drugoverdose/data/overdose.html" TargetMode="External"/><Relationship Id="rId4" Type="http://schemas.openxmlformats.org/officeDocument/2006/relationships/hyperlink" Target="http://www.samhsa.gov/data/2k13/DAWN127/sr127-DAWN-highlights.htm" TargetMode="External"/><Relationship Id="rId9" Type="http://schemas.openxmlformats.org/officeDocument/2006/relationships/hyperlink" Target="http://www.cdc.gov/drugoverdose/data/statedeaths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Percent Increase in Deaths Due to Drug Overdose (2013 - 2014)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North Dakota</c:v>
                </c:pt>
                <c:pt idx="1">
                  <c:v>New Hampshire</c:v>
                </c:pt>
                <c:pt idx="2">
                  <c:v>Maine</c:v>
                </c:pt>
                <c:pt idx="3">
                  <c:v>New Mexico</c:v>
                </c:pt>
                <c:pt idx="4">
                  <c:v>Alabama</c:v>
                </c:pt>
                <c:pt idx="5">
                  <c:v>Maryland</c:v>
                </c:pt>
                <c:pt idx="6">
                  <c:v>Massachusetts</c:v>
                </c:pt>
                <c:pt idx="7">
                  <c:v>Ohio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125</c:v>
                </c:pt>
                <c:pt idx="1">
                  <c:v>73.5</c:v>
                </c:pt>
                <c:pt idx="2">
                  <c:v>27.3</c:v>
                </c:pt>
                <c:pt idx="3">
                  <c:v>20.8</c:v>
                </c:pt>
                <c:pt idx="4">
                  <c:v>19.7</c:v>
                </c:pt>
                <c:pt idx="5">
                  <c:v>19.2</c:v>
                </c:pt>
                <c:pt idx="6">
                  <c:v>18.8</c:v>
                </c:pt>
                <c:pt idx="7">
                  <c:v>18.3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515648"/>
        <c:axId val="41999104"/>
      </c:barChart>
      <c:catAx>
        <c:axId val="715156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1999104"/>
        <c:crosses val="autoZero"/>
        <c:auto val="1"/>
        <c:lblAlgn val="ctr"/>
        <c:lblOffset val="100"/>
        <c:noMultiLvlLbl val="0"/>
      </c:catAx>
      <c:valAx>
        <c:axId val="41999104"/>
        <c:scaling>
          <c:orientation val="minMax"/>
          <c:max val="130"/>
          <c:min val="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71515648"/>
        <c:crosses val="autoZero"/>
        <c:crossBetween val="between"/>
        <c:majorUnit val="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66C0-8B67-44A9-92F2-27F0A9E7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Paul</dc:creator>
  <cp:lastModifiedBy>Lindsay Paul</cp:lastModifiedBy>
  <cp:revision>3</cp:revision>
  <cp:lastPrinted>2016-05-17T18:08:00Z</cp:lastPrinted>
  <dcterms:created xsi:type="dcterms:W3CDTF">2016-05-17T19:01:00Z</dcterms:created>
  <dcterms:modified xsi:type="dcterms:W3CDTF">2016-05-18T03:00:00Z</dcterms:modified>
</cp:coreProperties>
</file>